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00" w:type="dxa"/>
        <w:shd w:val="clear" w:color="auto" w:fill="FFFFFF"/>
        <w:tblCellMar>
          <w:left w:w="0" w:type="dxa"/>
          <w:right w:w="0" w:type="dxa"/>
        </w:tblCellMar>
        <w:tblLook w:val="04A0" w:firstRow="1" w:lastRow="0" w:firstColumn="1" w:lastColumn="0" w:noHBand="0" w:noVBand="1"/>
      </w:tblPr>
      <w:tblGrid>
        <w:gridCol w:w="8700"/>
      </w:tblGrid>
      <w:tr w:rsidR="00A06FC5" w:rsidRPr="00A06FC5" w14:paraId="27ADE971" w14:textId="77777777" w:rsidTr="00A06FC5">
        <w:tc>
          <w:tcPr>
            <w:tcW w:w="0" w:type="auto"/>
            <w:tcBorders>
              <w:top w:val="nil"/>
              <w:left w:val="nil"/>
              <w:bottom w:val="nil"/>
              <w:right w:val="nil"/>
            </w:tcBorders>
            <w:shd w:val="clear" w:color="auto" w:fill="FFFFFF"/>
            <w:hideMark/>
          </w:tcPr>
          <w:tbl>
            <w:tblPr>
              <w:tblW w:w="8700" w:type="dxa"/>
              <w:tblCellMar>
                <w:left w:w="0" w:type="dxa"/>
                <w:right w:w="0" w:type="dxa"/>
              </w:tblCellMar>
              <w:tblLook w:val="04A0" w:firstRow="1" w:lastRow="0" w:firstColumn="1" w:lastColumn="0" w:noHBand="0" w:noVBand="1"/>
            </w:tblPr>
            <w:tblGrid>
              <w:gridCol w:w="8700"/>
            </w:tblGrid>
            <w:tr w:rsidR="00A06FC5" w:rsidRPr="00A06FC5" w14:paraId="24BC5A8D" w14:textId="77777777">
              <w:tc>
                <w:tcPr>
                  <w:tcW w:w="0" w:type="auto"/>
                  <w:tcBorders>
                    <w:top w:val="nil"/>
                    <w:left w:val="nil"/>
                    <w:bottom w:val="nil"/>
                    <w:right w:val="nil"/>
                  </w:tcBorders>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6FC5" w:rsidRPr="00A06FC5" w14:paraId="0BAFC833" w14:textId="77777777">
                    <w:tc>
                      <w:tcPr>
                        <w:tcW w:w="0" w:type="auto"/>
                        <w:tcBorders>
                          <w:top w:val="nil"/>
                          <w:left w:val="nil"/>
                          <w:bottom w:val="nil"/>
                          <w:right w:val="nil"/>
                        </w:tcBorders>
                        <w:tcMar>
                          <w:top w:w="0" w:type="dxa"/>
                          <w:left w:w="0" w:type="dxa"/>
                          <w:bottom w:w="150" w:type="dxa"/>
                          <w:right w:w="0" w:type="dxa"/>
                        </w:tcMar>
                        <w:hideMark/>
                      </w:tcPr>
                      <w:tbl>
                        <w:tblPr>
                          <w:tblpPr w:leftFromText="180" w:rightFromText="180" w:vertAnchor="text"/>
                          <w:tblW w:w="8625" w:type="dxa"/>
                          <w:tblCellMar>
                            <w:left w:w="0" w:type="dxa"/>
                            <w:right w:w="0" w:type="dxa"/>
                          </w:tblCellMar>
                          <w:tblLook w:val="04A0" w:firstRow="1" w:lastRow="0" w:firstColumn="1" w:lastColumn="0" w:noHBand="0" w:noVBand="1"/>
                        </w:tblPr>
                        <w:tblGrid>
                          <w:gridCol w:w="4254"/>
                          <w:gridCol w:w="4371"/>
                        </w:tblGrid>
                        <w:tr w:rsidR="00A06FC5" w:rsidRPr="00A06FC5" w14:paraId="27706BC5" w14:textId="77777777">
                          <w:trPr>
                            <w:trHeight w:val="1849"/>
                          </w:trPr>
                          <w:tc>
                            <w:tcPr>
                              <w:tcW w:w="2600" w:type="pct"/>
                              <w:tcBorders>
                                <w:top w:val="nil"/>
                                <w:left w:val="nil"/>
                                <w:bottom w:val="nil"/>
                                <w:right w:val="nil"/>
                              </w:tcBorders>
                              <w:tcMar>
                                <w:top w:w="0" w:type="dxa"/>
                                <w:left w:w="108" w:type="dxa"/>
                                <w:bottom w:w="0" w:type="dxa"/>
                                <w:right w:w="108" w:type="dxa"/>
                              </w:tcMar>
                              <w:hideMark/>
                            </w:tcPr>
                            <w:p w14:paraId="76DC1ADA" w14:textId="77777777" w:rsidR="00A06FC5" w:rsidRPr="00A06FC5" w:rsidRDefault="00A06FC5" w:rsidP="00A06FC5">
                              <w:pPr>
                                <w:spacing w:after="240"/>
                                <w:rPr>
                                  <w:rFonts w:eastAsia="Times New Roman" w:cs="Times New Roman"/>
                                  <w:sz w:val="24"/>
                                  <w:szCs w:val="24"/>
                                  <w:lang w:eastAsia="ru-RU"/>
                                </w:rPr>
                              </w:pPr>
                              <w:r w:rsidRPr="00A06FC5">
                                <w:rPr>
                                  <w:rFonts w:eastAsia="Times New Roman" w:cs="Times New Roman"/>
                                  <w:sz w:val="21"/>
                                  <w:szCs w:val="21"/>
                                  <w:lang w:eastAsia="ru-RU"/>
                                </w:rPr>
                                <w:t>ПАО     СК «Росгосстрах»</w:t>
                              </w:r>
                              <w:r w:rsidRPr="00A06FC5">
                                <w:rPr>
                                  <w:rFonts w:eastAsia="Times New Roman" w:cs="Times New Roman"/>
                                  <w:sz w:val="21"/>
                                  <w:szCs w:val="21"/>
                                  <w:lang w:eastAsia="ru-RU"/>
                                </w:rPr>
                                <w:br/>
                                <w:t>119991, Российская Федерация,</w:t>
                              </w:r>
                              <w:r w:rsidRPr="00A06FC5">
                                <w:rPr>
                                  <w:rFonts w:eastAsia="Times New Roman" w:cs="Times New Roman"/>
                                  <w:sz w:val="21"/>
                                  <w:szCs w:val="21"/>
                                  <w:lang w:eastAsia="ru-RU"/>
                                </w:rPr>
                                <w:br/>
                                <w:t>г. Москва-59, ГСП-1, ул. Киевская, д. 7</w:t>
                              </w:r>
                              <w:r w:rsidRPr="00A06FC5">
                                <w:rPr>
                                  <w:rFonts w:eastAsia="Times New Roman" w:cs="Times New Roman"/>
                                  <w:sz w:val="21"/>
                                  <w:szCs w:val="21"/>
                                  <w:lang w:eastAsia="ru-RU"/>
                                </w:rPr>
                                <w:br/>
                                <w:t>Телефон: +7 (495) 783-24-24</w:t>
                              </w:r>
                              <w:r w:rsidRPr="00A06FC5">
                                <w:rPr>
                                  <w:rFonts w:eastAsia="Times New Roman" w:cs="Times New Roman"/>
                                  <w:sz w:val="21"/>
                                  <w:szCs w:val="21"/>
                                  <w:lang w:eastAsia="ru-RU"/>
                                </w:rPr>
                                <w:br/>
                                <w:t>Факс: +7 (495) 783-24-34</w:t>
                              </w:r>
                              <w:r w:rsidRPr="00A06FC5">
                                <w:rPr>
                                  <w:rFonts w:eastAsia="Times New Roman" w:cs="Times New Roman"/>
                                  <w:sz w:val="21"/>
                                  <w:szCs w:val="21"/>
                                  <w:lang w:eastAsia="ru-RU"/>
                                </w:rPr>
                                <w:br/>
                                <w:t>E-mail: </w:t>
                              </w:r>
                              <w:hyperlink r:id="rId5" w:tgtFrame="_blank" w:history="1">
                                <w:r w:rsidRPr="00A06FC5">
                                  <w:rPr>
                                    <w:rFonts w:eastAsia="Times New Roman" w:cs="Times New Roman"/>
                                    <w:color w:val="0000FF"/>
                                    <w:sz w:val="21"/>
                                    <w:szCs w:val="21"/>
                                    <w:u w:val="single"/>
                                    <w:lang w:eastAsia="ru-RU"/>
                                  </w:rPr>
                                  <w:t>rgs@rgs.ru</w:t>
                                </w:r>
                              </w:hyperlink>
                              <w:r w:rsidRPr="00A06FC5">
                                <w:rPr>
                                  <w:rFonts w:eastAsia="Times New Roman" w:cs="Times New Roman"/>
                                  <w:sz w:val="21"/>
                                  <w:szCs w:val="21"/>
                                  <w:lang w:eastAsia="ru-RU"/>
                                </w:rPr>
                                <w:br/>
                              </w:r>
                              <w:hyperlink r:id="rId6" w:tgtFrame="_blank" w:history="1">
                                <w:r w:rsidRPr="00A06FC5">
                                  <w:rPr>
                                    <w:rFonts w:eastAsia="Times New Roman" w:cs="Times New Roman"/>
                                    <w:color w:val="0000FF"/>
                                    <w:sz w:val="21"/>
                                    <w:szCs w:val="21"/>
                                    <w:u w:val="single"/>
                                    <w:lang w:eastAsia="ru-RU"/>
                                  </w:rPr>
                                  <w:t>www.rgs.ru</w:t>
                                </w:r>
                              </w:hyperlink>
                              <w:r w:rsidRPr="00A06FC5">
                                <w:rPr>
                                  <w:rFonts w:eastAsia="Times New Roman" w:cs="Times New Roman"/>
                                  <w:sz w:val="21"/>
                                  <w:szCs w:val="21"/>
                                  <w:lang w:eastAsia="ru-RU"/>
                                </w:rPr>
                                <w:t>          </w:t>
                              </w:r>
                              <w:r w:rsidRPr="00A06FC5">
                                <w:rPr>
                                  <w:rFonts w:eastAsia="Times New Roman" w:cs="Times New Roman"/>
                                  <w:sz w:val="21"/>
                                  <w:szCs w:val="21"/>
                                  <w:lang w:eastAsia="ru-RU"/>
                                </w:rPr>
                                <w:br/>
                                <w:t>№ C-8737411 / 1 от 27.04.2023                                                  </w:t>
                              </w:r>
                              <w:r w:rsidRPr="00A06FC5">
                                <w:rPr>
                                  <w:rFonts w:eastAsia="Times New Roman" w:cs="Times New Roman"/>
                                  <w:sz w:val="24"/>
                                  <w:szCs w:val="24"/>
                                  <w:lang w:eastAsia="ru-RU"/>
                                </w:rPr>
                                <w:br/>
                              </w:r>
                            </w:p>
                          </w:tc>
                          <w:tc>
                            <w:tcPr>
                              <w:tcW w:w="2350" w:type="pct"/>
                              <w:tcBorders>
                                <w:top w:val="nil"/>
                                <w:left w:val="nil"/>
                                <w:bottom w:val="nil"/>
                                <w:right w:val="nil"/>
                              </w:tcBorders>
                              <w:tcMar>
                                <w:top w:w="0" w:type="dxa"/>
                                <w:left w:w="108" w:type="dxa"/>
                                <w:bottom w:w="0" w:type="dxa"/>
                                <w:right w:w="108" w:type="dxa"/>
                              </w:tcMar>
                              <w:hideMark/>
                            </w:tcPr>
                            <w:tbl>
                              <w:tblPr>
                                <w:tblpPr w:leftFromText="180" w:rightFromText="180" w:vertAnchor="text"/>
                                <w:tblW w:w="4155" w:type="dxa"/>
                                <w:tblCellMar>
                                  <w:left w:w="0" w:type="dxa"/>
                                  <w:right w:w="0" w:type="dxa"/>
                                </w:tblCellMar>
                                <w:tblLook w:val="04A0" w:firstRow="1" w:lastRow="0" w:firstColumn="1" w:lastColumn="0" w:noHBand="0" w:noVBand="1"/>
                              </w:tblPr>
                              <w:tblGrid>
                                <w:gridCol w:w="4155"/>
                              </w:tblGrid>
                              <w:tr w:rsidR="00A06FC5" w:rsidRPr="00A06FC5" w14:paraId="09B045E4" w14:textId="77777777">
                                <w:trPr>
                                  <w:trHeight w:val="1868"/>
                                </w:trPr>
                                <w:tc>
                                  <w:tcPr>
                                    <w:tcW w:w="5000" w:type="pct"/>
                                    <w:tcBorders>
                                      <w:top w:val="nil"/>
                                      <w:left w:val="nil"/>
                                      <w:bottom w:val="nil"/>
                                      <w:right w:val="nil"/>
                                    </w:tcBorders>
                                    <w:tcMar>
                                      <w:top w:w="0" w:type="dxa"/>
                                      <w:left w:w="108" w:type="dxa"/>
                                      <w:bottom w:w="0" w:type="dxa"/>
                                      <w:right w:w="108" w:type="dxa"/>
                                    </w:tcMar>
                                    <w:hideMark/>
                                  </w:tcPr>
                                  <w:p w14:paraId="7A14C401" w14:textId="4F9F9C81" w:rsidR="00A06FC5" w:rsidRPr="00A06FC5" w:rsidRDefault="00A06FC5" w:rsidP="00A06FC5">
                                    <w:pPr>
                                      <w:spacing w:after="0"/>
                                      <w:rPr>
                                        <w:rFonts w:eastAsia="Times New Roman" w:cs="Times New Roman"/>
                                        <w:sz w:val="24"/>
                                        <w:szCs w:val="24"/>
                                        <w:lang w:eastAsia="ru-RU"/>
                                      </w:rPr>
                                    </w:pPr>
                                  </w:p>
                                </w:tc>
                              </w:tr>
                            </w:tbl>
                            <w:p w14:paraId="4A75E21E" w14:textId="77777777" w:rsidR="00A06FC5" w:rsidRPr="00A06FC5" w:rsidRDefault="00A06FC5" w:rsidP="00A06FC5">
                              <w:pPr>
                                <w:spacing w:after="0"/>
                                <w:rPr>
                                  <w:rFonts w:eastAsia="Times New Roman" w:cs="Times New Roman"/>
                                  <w:sz w:val="24"/>
                                  <w:szCs w:val="24"/>
                                  <w:lang w:eastAsia="ru-RU"/>
                                </w:rPr>
                              </w:pPr>
                            </w:p>
                          </w:tc>
                        </w:tr>
                      </w:tbl>
                      <w:p w14:paraId="1EE33A5D" w14:textId="77777777" w:rsidR="00A06FC5" w:rsidRPr="00A06FC5" w:rsidRDefault="00A06FC5" w:rsidP="00A06FC5">
                        <w:pPr>
                          <w:spacing w:before="100" w:beforeAutospacing="1" w:after="100" w:afterAutospacing="1" w:line="285" w:lineRule="atLeast"/>
                          <w:ind w:right="141"/>
                          <w:jc w:val="center"/>
                          <w:rPr>
                            <w:rFonts w:ascii="Helvetica" w:eastAsia="Times New Roman" w:hAnsi="Helvetica" w:cs="Helvetica"/>
                            <w:color w:val="222222"/>
                            <w:sz w:val="21"/>
                            <w:szCs w:val="21"/>
                            <w:lang w:eastAsia="ru-RU"/>
                          </w:rPr>
                        </w:pPr>
                      </w:p>
                      <w:p w14:paraId="28601810" w14:textId="77777777" w:rsidR="00A06FC5" w:rsidRPr="00A06FC5" w:rsidRDefault="00A06FC5" w:rsidP="00A06FC5">
                        <w:pPr>
                          <w:spacing w:before="100" w:beforeAutospacing="1" w:after="100" w:afterAutospacing="1" w:line="285" w:lineRule="atLeast"/>
                          <w:ind w:right="141"/>
                          <w:jc w:val="center"/>
                          <w:rPr>
                            <w:rFonts w:ascii="Helvetica" w:eastAsia="Times New Roman" w:hAnsi="Helvetica" w:cs="Helvetica"/>
                            <w:color w:val="222222"/>
                            <w:sz w:val="21"/>
                            <w:szCs w:val="21"/>
                            <w:lang w:eastAsia="ru-RU"/>
                          </w:rPr>
                        </w:pPr>
                        <w:r w:rsidRPr="00A06FC5">
                          <w:rPr>
                            <w:rFonts w:eastAsia="Times New Roman" w:cs="Times New Roman"/>
                            <w:b/>
                            <w:bCs/>
                            <w:color w:val="000000"/>
                            <w:sz w:val="21"/>
                            <w:szCs w:val="21"/>
                            <w:lang w:eastAsia="ru-RU"/>
                          </w:rPr>
                          <w:t>Уважаемая Нина Олеговна!</w:t>
                        </w:r>
                      </w:p>
                      <w:p w14:paraId="0987EA18" w14:textId="77777777" w:rsidR="00A06FC5" w:rsidRPr="00A06FC5" w:rsidRDefault="00A06FC5" w:rsidP="00A06FC5">
                        <w:pPr>
                          <w:spacing w:before="100" w:beforeAutospacing="1" w:after="100" w:afterAutospacing="1" w:line="285" w:lineRule="atLeast"/>
                          <w:ind w:right="141"/>
                          <w:jc w:val="center"/>
                          <w:rPr>
                            <w:rFonts w:ascii="Helvetica" w:eastAsia="Times New Roman" w:hAnsi="Helvetica" w:cs="Helvetica"/>
                            <w:color w:val="222222"/>
                            <w:sz w:val="21"/>
                            <w:szCs w:val="21"/>
                            <w:lang w:eastAsia="ru-RU"/>
                          </w:rPr>
                        </w:pPr>
                        <w:r w:rsidRPr="00A06FC5">
                          <w:rPr>
                            <w:rFonts w:eastAsia="Times New Roman" w:cs="Times New Roman"/>
                            <w:b/>
                            <w:bCs/>
                            <w:color w:val="000000"/>
                            <w:sz w:val="21"/>
                            <w:szCs w:val="21"/>
                            <w:lang w:eastAsia="ru-RU"/>
                          </w:rPr>
                          <w:t> </w:t>
                        </w:r>
                      </w:p>
                      <w:p w14:paraId="3E2C4AC0"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Мы рассмотрели ваше обращение № C-8737411 об осуществлении компенсационных выплат по договорам, заключенным до 01.01.1992.</w:t>
                        </w:r>
                      </w:p>
                      <w:p w14:paraId="443C6BC9" w14:textId="77777777" w:rsidR="00A06FC5" w:rsidRPr="00A06FC5" w:rsidRDefault="00A06FC5" w:rsidP="00A06FC5">
                        <w:pPr>
                          <w:spacing w:after="0"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По поручению Правительства РФ, ПАО СК «Росгосстрах» с 2001 года осуществляет выплаты компенсаций отдельным категориям граждан по договорам накопительного личного страхования, заключенным до 01.01.1992 и действовавшим на эту дату.</w:t>
                        </w:r>
                      </w:p>
                      <w:p w14:paraId="5CFFD529"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В текущем году выплаты компенсаций регламентируются:</w:t>
                        </w:r>
                      </w:p>
                      <w:p w14:paraId="5DA1693F" w14:textId="77777777" w:rsidR="00A06FC5" w:rsidRPr="00A06FC5" w:rsidRDefault="00A06FC5" w:rsidP="00A06FC5">
                        <w:pPr>
                          <w:numPr>
                            <w:ilvl w:val="0"/>
                            <w:numId w:val="1"/>
                          </w:num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Федеральным законом от 10.05.1995 № 73-ФЗ «О восстановлении и защите сбережений граждан РФ».</w:t>
                        </w:r>
                      </w:p>
                      <w:p w14:paraId="144F908C" w14:textId="77777777" w:rsidR="00A06FC5" w:rsidRPr="00A06FC5" w:rsidRDefault="00A06FC5" w:rsidP="00A06FC5">
                        <w:pPr>
                          <w:numPr>
                            <w:ilvl w:val="0"/>
                            <w:numId w:val="1"/>
                          </w:num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Статьей 15 Федерального закона от 05.12.2022 N 466-ФЗ "О федеральном бюджете на 2023 год и на плановый период 2024 и 2025 годов".</w:t>
                        </w:r>
                      </w:p>
                      <w:p w14:paraId="4B690B99" w14:textId="77777777" w:rsidR="00A06FC5" w:rsidRPr="00A06FC5" w:rsidRDefault="00A06FC5" w:rsidP="00A06FC5">
                        <w:pPr>
                          <w:numPr>
                            <w:ilvl w:val="0"/>
                            <w:numId w:val="1"/>
                          </w:num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Правилами, утвержденными Постановлением Правительства РФ от 25.12.2009 № 1093.</w:t>
                        </w:r>
                      </w:p>
                      <w:p w14:paraId="17EEC407"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Обращаем ваше внимание, что согласно этим документам компенсации подлежит не страховая сумма, а взносы, уплаченные по договору страхования до 01.01.1992 года (исходя из нарицательной стоимости денежных знаков в 1991 году).</w:t>
                        </w:r>
                      </w:p>
                      <w:p w14:paraId="3DE2F30C"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В соответствии с п.4 Правил осуществления компенсационных выплат, утвержденных Постановлением Правительства РФ от 25.12.2009 № 1093:</w:t>
                        </w:r>
                      </w:p>
                      <w:p w14:paraId="4692D72B"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«…Выплата компенсации на оплату ритуальных услуг осуществляется при подтверждении наличия вкладов (взносов) по договорам страхования по состоянию на 1 января 1992 г. наследникам по предъявлении свидетельства о праве на наследство либо физическим лицам, осуществившим оплату ритуальных услуг, по предъявлении ими постановления нотариуса (до истечения 6 месяцев со дня открытия наследства) или их представителям на основании указанных документов и доверенности, выданной в установленном порядке, а также по предъявлении паспорта, свидетельства о смерти владельца вкладов (взносов) или лица, застрахованного по целевым вкладам (взносам) на детей …»</w:t>
                        </w:r>
                      </w:p>
                      <w:p w14:paraId="0A557539"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 xml:space="preserve">Таким образом, в соответствии с действующим законодательством, без предоставления вами свидетельства о праве на наследство, у ПАО СК «Росгосстрах» </w:t>
                        </w:r>
                        <w:r w:rsidRPr="00A06FC5">
                          <w:rPr>
                            <w:rFonts w:eastAsia="Times New Roman" w:cs="Times New Roman"/>
                            <w:color w:val="000000"/>
                            <w:sz w:val="24"/>
                            <w:szCs w:val="24"/>
                            <w:lang w:eastAsia="ru-RU"/>
                          </w:rPr>
                          <w:lastRenderedPageBreak/>
                          <w:t xml:space="preserve">отсутствуют правовые основания для оформления </w:t>
                        </w:r>
                        <w:proofErr w:type="gramStart"/>
                        <w:r w:rsidRPr="00A06FC5">
                          <w:rPr>
                            <w:rFonts w:eastAsia="Times New Roman" w:cs="Times New Roman"/>
                            <w:color w:val="000000"/>
                            <w:sz w:val="24"/>
                            <w:szCs w:val="24"/>
                            <w:lang w:eastAsia="ru-RU"/>
                          </w:rPr>
                          <w:t>наследникам  выплаты</w:t>
                        </w:r>
                        <w:proofErr w:type="gramEnd"/>
                        <w:r w:rsidRPr="00A06FC5">
                          <w:rPr>
                            <w:rFonts w:eastAsia="Times New Roman" w:cs="Times New Roman"/>
                            <w:color w:val="000000"/>
                            <w:sz w:val="24"/>
                            <w:szCs w:val="24"/>
                            <w:lang w:eastAsia="ru-RU"/>
                          </w:rPr>
                          <w:t xml:space="preserve"> компенсации на оплату ритуальных услуг.</w:t>
                        </w:r>
                      </w:p>
                      <w:p w14:paraId="0B7ED511"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На основании вышеизложенного, постановление нотариуса вынесено необоснованно.</w:t>
                        </w:r>
                      </w:p>
                      <w:p w14:paraId="1BC099FC"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Для дальнейшего рассмотрения вопроса о начислении компенсации на оплату ритуальных услуг по договору страхования (л/с 07660427, страхователь – Николаева Светлана Александровна) вам необходимо в наш адрес представить копию свидетельства о праве на наследство на имущество Николаевой Светланы Александровны, выданного применительно к компенсации по указанному договору страхования на основании справки, выданной Расчетным центром компенсационных выплат  ПАО СК «Росгосстрах» в г. Рязань по запросу нотариуса.</w:t>
                        </w:r>
                      </w:p>
                      <w:p w14:paraId="46E023DA" w14:textId="77777777" w:rsidR="00A06FC5" w:rsidRPr="00A06FC5" w:rsidRDefault="00A06FC5" w:rsidP="00A06FC5">
                        <w:pPr>
                          <w:spacing w:before="100" w:beforeAutospacing="1" w:after="100" w:afterAutospacing="1" w:line="285" w:lineRule="atLeast"/>
                          <w:jc w:val="both"/>
                          <w:rPr>
                            <w:rFonts w:ascii="Helvetica" w:eastAsia="Times New Roman" w:hAnsi="Helvetica" w:cs="Helvetica"/>
                            <w:color w:val="222222"/>
                            <w:sz w:val="21"/>
                            <w:szCs w:val="21"/>
                            <w:lang w:eastAsia="ru-RU"/>
                          </w:rPr>
                        </w:pPr>
                        <w:r w:rsidRPr="00A06FC5">
                          <w:rPr>
                            <w:rFonts w:eastAsia="Times New Roman" w:cs="Times New Roman"/>
                            <w:color w:val="000000"/>
                            <w:sz w:val="24"/>
                            <w:szCs w:val="24"/>
                            <w:lang w:eastAsia="ru-RU"/>
                          </w:rPr>
                          <w:t xml:space="preserve">Для информации сообщаем, что </w:t>
                        </w:r>
                        <w:proofErr w:type="gramStart"/>
                        <w:r w:rsidRPr="00A06FC5">
                          <w:rPr>
                            <w:rFonts w:eastAsia="Times New Roman" w:cs="Times New Roman"/>
                            <w:color w:val="000000"/>
                            <w:sz w:val="24"/>
                            <w:szCs w:val="24"/>
                            <w:lang w:eastAsia="ru-RU"/>
                          </w:rPr>
                          <w:t>Федеральным  законом</w:t>
                        </w:r>
                        <w:proofErr w:type="gramEnd"/>
                        <w:r w:rsidRPr="00A06FC5">
                          <w:rPr>
                            <w:rFonts w:eastAsia="Times New Roman" w:cs="Times New Roman"/>
                            <w:color w:val="000000"/>
                            <w:sz w:val="24"/>
                            <w:szCs w:val="24"/>
                            <w:lang w:eastAsia="ru-RU"/>
                          </w:rPr>
                          <w:t xml:space="preserve">  от 10 мая 1995 года № 73-ФЗ «О восстановлении и защите сбережений граждан РФ» денежные средства, уплаченные по договорам  накопительного личного страхования, заключенным до 01.01.1992г., признаны внутренним государственным  долгом. В соответствии с Соглашением, </w:t>
                        </w:r>
                        <w:proofErr w:type="gramStart"/>
                        <w:r w:rsidRPr="00A06FC5">
                          <w:rPr>
                            <w:rFonts w:eastAsia="Times New Roman" w:cs="Times New Roman"/>
                            <w:color w:val="000000"/>
                            <w:sz w:val="24"/>
                            <w:szCs w:val="24"/>
                            <w:lang w:eastAsia="ru-RU"/>
                          </w:rPr>
                          <w:t>заключенным  между</w:t>
                        </w:r>
                        <w:proofErr w:type="gramEnd"/>
                        <w:r w:rsidRPr="00A06FC5">
                          <w:rPr>
                            <w:rFonts w:eastAsia="Times New Roman" w:cs="Times New Roman"/>
                            <w:color w:val="000000"/>
                            <w:sz w:val="24"/>
                            <w:szCs w:val="24"/>
                            <w:lang w:eastAsia="ru-RU"/>
                          </w:rPr>
                          <w:t xml:space="preserve"> ПАО СК «Росгосстрах», Минфином России и Федеральным Казначейством, ПАО СК «Росгосстрах» только рассматривает документы граждан, начисляет сумму компенсации и формирует для Управления Федерального казначейства по Рязанской области заявки на перечисление денежных средств гражданам. Выплату компенсации осуществляет Государство из средств Федерального бюджета через Управление Федерального казначейства по Рязанской области. ПАО СК «Росгосстрах» является лишь агентом Государства по выплате гражданам внутреннего государственного долга (компенсаций).</w:t>
                        </w:r>
                      </w:p>
                      <w:p w14:paraId="1FCC2ABA" w14:textId="77777777" w:rsidR="00A06FC5" w:rsidRPr="00A06FC5" w:rsidRDefault="00A06FC5" w:rsidP="00A06FC5">
                        <w:pPr>
                          <w:spacing w:after="0" w:line="285" w:lineRule="atLeast"/>
                          <w:rPr>
                            <w:rFonts w:ascii="Helvetica" w:eastAsia="Times New Roman" w:hAnsi="Helvetica" w:cs="Helvetica"/>
                            <w:color w:val="222222"/>
                            <w:sz w:val="21"/>
                            <w:szCs w:val="21"/>
                            <w:lang w:eastAsia="ru-RU"/>
                          </w:rPr>
                        </w:pPr>
                        <w:r w:rsidRPr="00A06FC5">
                          <w:rPr>
                            <w:rFonts w:eastAsia="Times New Roman" w:cs="Times New Roman"/>
                            <w:color w:val="222222"/>
                            <w:sz w:val="21"/>
                            <w:szCs w:val="21"/>
                            <w:lang w:eastAsia="ru-RU"/>
                          </w:rPr>
                          <w:br/>
                        </w:r>
                        <w:r w:rsidRPr="00A06FC5">
                          <w:rPr>
                            <w:rFonts w:ascii="Helvetica" w:eastAsia="Times New Roman" w:hAnsi="Helvetica" w:cs="Helvetica"/>
                            <w:color w:val="000000"/>
                            <w:sz w:val="21"/>
                            <w:szCs w:val="21"/>
                            <w:lang w:eastAsia="ru-RU"/>
                          </w:rPr>
                          <w:br/>
                        </w:r>
                        <w:r w:rsidRPr="00A06FC5">
                          <w:rPr>
                            <w:rFonts w:eastAsia="Times New Roman" w:cs="Times New Roman"/>
                            <w:b/>
                            <w:bCs/>
                            <w:color w:val="000000"/>
                            <w:sz w:val="21"/>
                            <w:szCs w:val="21"/>
                            <w:lang w:eastAsia="ru-RU"/>
                          </w:rPr>
                          <w:t>С уважением,</w:t>
                        </w:r>
                        <w:r w:rsidRPr="00A06FC5">
                          <w:rPr>
                            <w:rFonts w:eastAsia="Times New Roman" w:cs="Times New Roman"/>
                            <w:b/>
                            <w:bCs/>
                            <w:color w:val="000000"/>
                            <w:sz w:val="21"/>
                            <w:szCs w:val="21"/>
                            <w:lang w:eastAsia="ru-RU"/>
                          </w:rPr>
                          <w:br/>
                          <w:t>Отдел обработки обращений клиентов.</w:t>
                        </w:r>
                      </w:p>
                    </w:tc>
                    <w:tc>
                      <w:tcPr>
                        <w:tcW w:w="6" w:type="dxa"/>
                        <w:tcBorders>
                          <w:top w:val="nil"/>
                          <w:left w:val="nil"/>
                          <w:bottom w:val="nil"/>
                          <w:right w:val="nil"/>
                        </w:tcBorders>
                        <w:hideMark/>
                      </w:tcPr>
                      <w:p w14:paraId="768FF4D0" w14:textId="77777777" w:rsidR="00A06FC5" w:rsidRPr="00A06FC5" w:rsidRDefault="00A06FC5" w:rsidP="00A06FC5">
                        <w:pPr>
                          <w:spacing w:after="0" w:line="285" w:lineRule="atLeast"/>
                          <w:rPr>
                            <w:rFonts w:ascii="Helvetica" w:eastAsia="Times New Roman" w:hAnsi="Helvetica" w:cs="Helvetica"/>
                            <w:color w:val="222222"/>
                            <w:sz w:val="21"/>
                            <w:szCs w:val="21"/>
                            <w:lang w:eastAsia="ru-RU"/>
                          </w:rPr>
                        </w:pPr>
                      </w:p>
                    </w:tc>
                  </w:tr>
                </w:tbl>
                <w:p w14:paraId="71A01116" w14:textId="77777777" w:rsidR="00A06FC5" w:rsidRPr="00A06FC5" w:rsidRDefault="00A06FC5" w:rsidP="00A06FC5">
                  <w:pPr>
                    <w:spacing w:after="0" w:line="285" w:lineRule="atLeast"/>
                    <w:rPr>
                      <w:rFonts w:ascii="Helvetica" w:eastAsia="Times New Roman" w:hAnsi="Helvetica" w:cs="Helvetica"/>
                      <w:color w:val="222222"/>
                      <w:sz w:val="21"/>
                      <w:szCs w:val="21"/>
                      <w:lang w:eastAsia="ru-RU"/>
                    </w:rPr>
                  </w:pPr>
                </w:p>
              </w:tc>
            </w:tr>
          </w:tbl>
          <w:p w14:paraId="68EA99E1" w14:textId="77777777" w:rsidR="00A06FC5" w:rsidRPr="00A06FC5" w:rsidRDefault="00A06FC5" w:rsidP="00A06FC5">
            <w:pPr>
              <w:spacing w:after="0" w:line="285" w:lineRule="atLeast"/>
              <w:rPr>
                <w:rFonts w:ascii="Helvetica" w:eastAsia="Times New Roman" w:hAnsi="Helvetica" w:cs="Helvetica"/>
                <w:vanish/>
                <w:color w:val="222222"/>
                <w:sz w:val="21"/>
                <w:szCs w:val="21"/>
                <w:lang w:eastAsia="ru-RU"/>
              </w:rPr>
            </w:pPr>
          </w:p>
          <w:tbl>
            <w:tblPr>
              <w:tblW w:w="8700" w:type="dxa"/>
              <w:tblCellMar>
                <w:left w:w="0" w:type="dxa"/>
                <w:right w:w="0" w:type="dxa"/>
              </w:tblCellMar>
              <w:tblLook w:val="04A0" w:firstRow="1" w:lastRow="0" w:firstColumn="1" w:lastColumn="0" w:noHBand="0" w:noVBand="1"/>
            </w:tblPr>
            <w:tblGrid>
              <w:gridCol w:w="8700"/>
            </w:tblGrid>
            <w:tr w:rsidR="00A06FC5" w:rsidRPr="00A06FC5" w14:paraId="68EB6367" w14:textId="77777777">
              <w:tc>
                <w:tcPr>
                  <w:tcW w:w="0" w:type="auto"/>
                  <w:tcBorders>
                    <w:top w:val="nil"/>
                    <w:left w:val="nil"/>
                    <w:bottom w:val="nil"/>
                    <w:right w:val="nil"/>
                  </w:tcBorders>
                  <w:shd w:val="clear" w:color="auto" w:fill="EBEBEB"/>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6FC5" w:rsidRPr="00A06FC5" w14:paraId="205304C5" w14:textId="77777777">
                    <w:tc>
                      <w:tcPr>
                        <w:tcW w:w="0" w:type="auto"/>
                        <w:tcBorders>
                          <w:top w:val="nil"/>
                          <w:left w:val="nil"/>
                          <w:bottom w:val="nil"/>
                          <w:right w:val="nil"/>
                        </w:tcBorders>
                        <w:tcMar>
                          <w:top w:w="0" w:type="dxa"/>
                          <w:left w:w="150" w:type="dxa"/>
                          <w:bottom w:w="150" w:type="dxa"/>
                          <w:right w:w="0" w:type="dxa"/>
                        </w:tcMar>
                        <w:hideMark/>
                      </w:tcPr>
                      <w:p w14:paraId="0B1E3198" w14:textId="77777777" w:rsidR="00A06FC5" w:rsidRPr="00A06FC5" w:rsidRDefault="00A06FC5" w:rsidP="00A06FC5">
                        <w:pPr>
                          <w:spacing w:after="150" w:line="315" w:lineRule="atLeast"/>
                          <w:rPr>
                            <w:rFonts w:ascii="Helvetica" w:eastAsia="Times New Roman" w:hAnsi="Helvetica" w:cs="Helvetica"/>
                            <w:color w:val="222222"/>
                            <w:sz w:val="27"/>
                            <w:szCs w:val="27"/>
                            <w:lang w:eastAsia="ru-RU"/>
                          </w:rPr>
                        </w:pPr>
                        <w:r w:rsidRPr="00A06FC5">
                          <w:rPr>
                            <w:rFonts w:ascii="Helvetica" w:eastAsia="Times New Roman" w:hAnsi="Helvetica" w:cs="Helvetica"/>
                            <w:color w:val="222222"/>
                            <w:sz w:val="27"/>
                            <w:szCs w:val="27"/>
                            <w:lang w:eastAsia="ru-RU"/>
                          </w:rPr>
                          <w:t>ПАО СК "Росгосстрах"</w:t>
                        </w:r>
                      </w:p>
                      <w:p w14:paraId="20615A6E" w14:textId="77777777" w:rsidR="00A06FC5" w:rsidRPr="00A06FC5" w:rsidRDefault="00A06FC5" w:rsidP="00A06FC5">
                        <w:pPr>
                          <w:spacing w:after="45" w:line="285" w:lineRule="atLeast"/>
                          <w:rPr>
                            <w:rFonts w:ascii="Helvetica" w:eastAsia="Times New Roman" w:hAnsi="Helvetica" w:cs="Helvetica"/>
                            <w:color w:val="222222"/>
                            <w:sz w:val="21"/>
                            <w:szCs w:val="21"/>
                            <w:lang w:eastAsia="ru-RU"/>
                          </w:rPr>
                        </w:pPr>
                        <w:r w:rsidRPr="00A06FC5">
                          <w:rPr>
                            <w:rFonts w:ascii="Helvetica" w:eastAsia="Times New Roman" w:hAnsi="Helvetica" w:cs="Helvetica"/>
                            <w:color w:val="222222"/>
                            <w:sz w:val="21"/>
                            <w:szCs w:val="21"/>
                            <w:lang w:eastAsia="ru-RU"/>
                          </w:rPr>
                          <w:t>119991, г. Москва, ул. Киевская, д.7</w:t>
                        </w:r>
                      </w:p>
                      <w:p w14:paraId="51D6E901" w14:textId="77777777" w:rsidR="00A06FC5" w:rsidRPr="00A06FC5" w:rsidRDefault="00000000" w:rsidP="00A06FC5">
                        <w:pPr>
                          <w:spacing w:after="45" w:line="285" w:lineRule="atLeast"/>
                          <w:rPr>
                            <w:rFonts w:ascii="Helvetica" w:eastAsia="Times New Roman" w:hAnsi="Helvetica" w:cs="Helvetica"/>
                            <w:color w:val="222222"/>
                            <w:sz w:val="21"/>
                            <w:szCs w:val="21"/>
                            <w:lang w:eastAsia="ru-RU"/>
                          </w:rPr>
                        </w:pPr>
                        <w:hyperlink r:id="rId7" w:tgtFrame="_blank" w:history="1">
                          <w:r w:rsidR="00A06FC5" w:rsidRPr="00A06FC5">
                            <w:rPr>
                              <w:rFonts w:ascii="Helvetica" w:eastAsia="Times New Roman" w:hAnsi="Helvetica" w:cs="Helvetica"/>
                              <w:color w:val="2BA6CB"/>
                              <w:sz w:val="21"/>
                              <w:szCs w:val="21"/>
                              <w:u w:val="single"/>
                              <w:lang w:eastAsia="ru-RU"/>
                            </w:rPr>
                            <w:t>www.RGS.ru</w:t>
                          </w:r>
                        </w:hyperlink>
                      </w:p>
                    </w:tc>
                    <w:tc>
                      <w:tcPr>
                        <w:tcW w:w="6" w:type="dxa"/>
                        <w:tcBorders>
                          <w:top w:val="nil"/>
                          <w:left w:val="nil"/>
                          <w:bottom w:val="nil"/>
                          <w:right w:val="nil"/>
                        </w:tcBorders>
                        <w:hideMark/>
                      </w:tcPr>
                      <w:p w14:paraId="3CB5AA4C" w14:textId="77777777" w:rsidR="00A06FC5" w:rsidRPr="00A06FC5" w:rsidRDefault="00A06FC5" w:rsidP="00A06FC5">
                        <w:pPr>
                          <w:spacing w:after="0" w:line="285" w:lineRule="atLeast"/>
                          <w:rPr>
                            <w:rFonts w:ascii="Helvetica" w:eastAsia="Times New Roman" w:hAnsi="Helvetica" w:cs="Helvetica"/>
                            <w:color w:val="222222"/>
                            <w:sz w:val="21"/>
                            <w:szCs w:val="21"/>
                            <w:lang w:eastAsia="ru-RU"/>
                          </w:rPr>
                        </w:pPr>
                      </w:p>
                    </w:tc>
                  </w:tr>
                </w:tbl>
                <w:p w14:paraId="2BEAC745" w14:textId="77777777" w:rsidR="00A06FC5" w:rsidRPr="00A06FC5" w:rsidRDefault="00A06FC5" w:rsidP="00A06FC5">
                  <w:pPr>
                    <w:spacing w:after="0" w:line="285" w:lineRule="atLeast"/>
                    <w:rPr>
                      <w:rFonts w:ascii="Helvetica" w:eastAsia="Times New Roman" w:hAnsi="Helvetica" w:cs="Helvetica"/>
                      <w:color w:val="222222"/>
                      <w:sz w:val="21"/>
                      <w:szCs w:val="21"/>
                      <w:lang w:eastAsia="ru-RU"/>
                    </w:rPr>
                  </w:pPr>
                </w:p>
              </w:tc>
            </w:tr>
          </w:tbl>
          <w:p w14:paraId="29514F3F" w14:textId="77777777" w:rsidR="00A06FC5" w:rsidRPr="00A06FC5" w:rsidRDefault="00A06FC5" w:rsidP="00A06FC5">
            <w:pPr>
              <w:spacing w:after="0" w:line="285" w:lineRule="atLeast"/>
              <w:rPr>
                <w:rFonts w:ascii="Helvetica" w:eastAsia="Times New Roman" w:hAnsi="Helvetica" w:cs="Helvetica"/>
                <w:vanish/>
                <w:color w:val="222222"/>
                <w:sz w:val="21"/>
                <w:szCs w:val="21"/>
                <w:lang w:eastAsia="ru-RU"/>
              </w:rPr>
            </w:pPr>
          </w:p>
          <w:tbl>
            <w:tblPr>
              <w:tblW w:w="8700" w:type="dxa"/>
              <w:tblCellMar>
                <w:left w:w="0" w:type="dxa"/>
                <w:right w:w="0" w:type="dxa"/>
              </w:tblCellMar>
              <w:tblLook w:val="04A0" w:firstRow="1" w:lastRow="0" w:firstColumn="1" w:lastColumn="0" w:noHBand="0" w:noVBand="1"/>
            </w:tblPr>
            <w:tblGrid>
              <w:gridCol w:w="8700"/>
            </w:tblGrid>
            <w:tr w:rsidR="00A06FC5" w:rsidRPr="00A06FC5" w14:paraId="47852F65" w14:textId="77777777">
              <w:tc>
                <w:tcPr>
                  <w:tcW w:w="0" w:type="auto"/>
                  <w:tcBorders>
                    <w:top w:val="nil"/>
                    <w:left w:val="nil"/>
                    <w:bottom w:val="nil"/>
                    <w:right w:val="nil"/>
                  </w:tcBorders>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tblGrid>
                  <w:tr w:rsidR="00A06FC5" w:rsidRPr="00A06FC5" w14:paraId="40FBB571" w14:textId="77777777">
                    <w:tc>
                      <w:tcPr>
                        <w:tcW w:w="0" w:type="auto"/>
                        <w:tcBorders>
                          <w:top w:val="nil"/>
                          <w:left w:val="nil"/>
                          <w:bottom w:val="nil"/>
                          <w:right w:val="nil"/>
                        </w:tcBorders>
                        <w:tcMar>
                          <w:top w:w="0" w:type="dxa"/>
                          <w:left w:w="0" w:type="dxa"/>
                          <w:bottom w:w="150" w:type="dxa"/>
                          <w:right w:w="0" w:type="dxa"/>
                        </w:tcMar>
                        <w:hideMark/>
                      </w:tcPr>
                      <w:p w14:paraId="2F59DBC9" w14:textId="77777777" w:rsidR="00A06FC5" w:rsidRPr="00A06FC5" w:rsidRDefault="00A06FC5" w:rsidP="00A06FC5">
                        <w:pPr>
                          <w:spacing w:after="0" w:line="285" w:lineRule="atLeast"/>
                          <w:rPr>
                            <w:rFonts w:ascii="Helvetica" w:eastAsia="Times New Roman" w:hAnsi="Helvetica" w:cs="Helvetica"/>
                            <w:color w:val="222222"/>
                            <w:sz w:val="21"/>
                            <w:szCs w:val="21"/>
                            <w:lang w:eastAsia="ru-RU"/>
                          </w:rPr>
                        </w:pPr>
                      </w:p>
                      <w:p w14:paraId="255174D4" w14:textId="77777777" w:rsidR="00A06FC5" w:rsidRPr="00A06FC5" w:rsidRDefault="00A06FC5" w:rsidP="00A06FC5">
                        <w:pPr>
                          <w:spacing w:after="150" w:line="285" w:lineRule="atLeast"/>
                          <w:rPr>
                            <w:rFonts w:ascii="Helvetica" w:eastAsia="Times New Roman" w:hAnsi="Helvetica" w:cs="Helvetica"/>
                            <w:color w:val="999999"/>
                            <w:sz w:val="21"/>
                            <w:szCs w:val="21"/>
                            <w:lang w:eastAsia="ru-RU"/>
                          </w:rPr>
                        </w:pPr>
                        <w:r w:rsidRPr="00A06FC5">
                          <w:rPr>
                            <w:rFonts w:ascii="Helvetica" w:eastAsia="Times New Roman" w:hAnsi="Helvetica" w:cs="Helvetica"/>
                            <w:color w:val="999999"/>
                            <w:sz w:val="21"/>
                            <w:szCs w:val="21"/>
                            <w:lang w:eastAsia="ru-RU"/>
                          </w:rPr>
                          <w:t>Ответ на Ваше обращение подписан усиленной квалифицированной электронной подписью (файл подписи во вложении). Проверить подлинность электронной подписи возможно на сайте: </w:t>
                        </w:r>
                        <w:hyperlink r:id="rId8" w:tgtFrame="_blank" w:tooltip="Следующая ссылка" w:history="1">
                          <w:r w:rsidRPr="00A06FC5">
                            <w:rPr>
                              <w:rFonts w:ascii="Helvetica" w:eastAsia="Times New Roman" w:hAnsi="Helvetica" w:cs="Helvetica"/>
                              <w:color w:val="0000FF"/>
                              <w:sz w:val="21"/>
                              <w:szCs w:val="21"/>
                              <w:u w:val="single"/>
                              <w:lang w:eastAsia="ru-RU"/>
                            </w:rPr>
                            <w:t>https://www.gosuslugi.ru/pgu/eds</w:t>
                          </w:r>
                        </w:hyperlink>
                        <w:r w:rsidRPr="00A06FC5">
                          <w:rPr>
                            <w:rFonts w:ascii="Helvetica" w:eastAsia="Times New Roman" w:hAnsi="Helvetica" w:cs="Helvetica"/>
                            <w:color w:val="999999"/>
                            <w:sz w:val="21"/>
                            <w:szCs w:val="21"/>
                            <w:lang w:eastAsia="ru-RU"/>
                          </w:rPr>
                          <w:t>, выбрав тип подписи «Отсоединенная, в формате PKCS#7».</w:t>
                        </w:r>
                      </w:p>
                    </w:tc>
                  </w:tr>
                </w:tbl>
                <w:p w14:paraId="136C9462" w14:textId="77777777" w:rsidR="00A06FC5" w:rsidRPr="00A06FC5" w:rsidRDefault="00A06FC5" w:rsidP="00A06FC5">
                  <w:pPr>
                    <w:spacing w:after="0" w:line="285" w:lineRule="atLeast"/>
                    <w:rPr>
                      <w:rFonts w:ascii="Helvetica" w:eastAsia="Times New Roman" w:hAnsi="Helvetica" w:cs="Helvetica"/>
                      <w:color w:val="222222"/>
                      <w:sz w:val="21"/>
                      <w:szCs w:val="21"/>
                      <w:lang w:eastAsia="ru-RU"/>
                    </w:rPr>
                  </w:pPr>
                </w:p>
              </w:tc>
            </w:tr>
          </w:tbl>
          <w:p w14:paraId="5B780D95" w14:textId="77777777" w:rsidR="00A06FC5" w:rsidRPr="00A06FC5" w:rsidRDefault="00A06FC5" w:rsidP="00A06FC5">
            <w:pPr>
              <w:spacing w:after="0" w:line="285" w:lineRule="atLeast"/>
              <w:rPr>
                <w:rFonts w:ascii="Helvetica" w:eastAsia="Times New Roman" w:hAnsi="Helvetica" w:cs="Helvetica"/>
                <w:color w:val="222222"/>
                <w:sz w:val="21"/>
                <w:szCs w:val="21"/>
                <w:lang w:eastAsia="ru-RU"/>
              </w:rPr>
            </w:pPr>
          </w:p>
        </w:tc>
      </w:tr>
    </w:tbl>
    <w:p w14:paraId="7FFFDAC5"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32A"/>
    <w:multiLevelType w:val="multilevel"/>
    <w:tmpl w:val="F762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76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C5"/>
    <w:rsid w:val="00043CA4"/>
    <w:rsid w:val="006C0B77"/>
    <w:rsid w:val="008242FF"/>
    <w:rsid w:val="00870751"/>
    <w:rsid w:val="00922C48"/>
    <w:rsid w:val="00A06FC5"/>
    <w:rsid w:val="00B915B7"/>
    <w:rsid w:val="00DB69CF"/>
    <w:rsid w:val="00E6249C"/>
    <w:rsid w:val="00E83B5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ED36"/>
  <w15:chartTrackingRefBased/>
  <w15:docId w15:val="{62538E2D-CC2D-47D4-B6F2-4EB4FD0D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6FC5"/>
    <w:pPr>
      <w:spacing w:before="100" w:beforeAutospacing="1" w:after="100" w:afterAutospacing="1"/>
    </w:pPr>
    <w:rPr>
      <w:rFonts w:eastAsia="Times New Roman" w:cs="Times New Roman"/>
      <w:sz w:val="24"/>
      <w:szCs w:val="24"/>
      <w:lang w:eastAsia="ru-RU"/>
    </w:rPr>
  </w:style>
  <w:style w:type="character" w:customStyle="1" w:styleId="addresswidgetwrapper-yuh2">
    <w:name w:val="addresswidget_wrapper_-yuh2"/>
    <w:basedOn w:val="a0"/>
    <w:rsid w:val="00A06FC5"/>
  </w:style>
  <w:style w:type="character" w:customStyle="1" w:styleId="wmi-callto">
    <w:name w:val="wmi-callto"/>
    <w:basedOn w:val="a0"/>
    <w:rsid w:val="00A06FC5"/>
  </w:style>
  <w:style w:type="character" w:styleId="a4">
    <w:name w:val="Hyperlink"/>
    <w:basedOn w:val="a0"/>
    <w:uiPriority w:val="99"/>
    <w:semiHidden/>
    <w:unhideWhenUsed/>
    <w:rsid w:val="00A06FC5"/>
    <w:rPr>
      <w:color w:val="0000FF"/>
      <w:u w:val="single"/>
    </w:rPr>
  </w:style>
  <w:style w:type="character" w:styleId="a5">
    <w:name w:val="Strong"/>
    <w:basedOn w:val="a0"/>
    <w:uiPriority w:val="22"/>
    <w:qFormat/>
    <w:rsid w:val="00A06FC5"/>
    <w:rPr>
      <w:b/>
      <w:bCs/>
    </w:rPr>
  </w:style>
  <w:style w:type="paragraph" w:customStyle="1" w:styleId="9942be19164c7e09lead">
    <w:name w:val="9942be19164c7e09lead"/>
    <w:basedOn w:val="a"/>
    <w:rsid w:val="00A06FC5"/>
    <w:pPr>
      <w:spacing w:before="100" w:beforeAutospacing="1" w:after="100" w:afterAutospacing="1"/>
    </w:pPr>
    <w:rPr>
      <w:rFonts w:eastAsia="Times New Roman" w:cs="Times New Roman"/>
      <w:sz w:val="24"/>
      <w:szCs w:val="24"/>
      <w:lang w:eastAsia="ru-RU"/>
    </w:rPr>
  </w:style>
  <w:style w:type="paragraph" w:customStyle="1" w:styleId="602972daccc4c6d6contacts">
    <w:name w:val="602972daccc4c6d6contacts"/>
    <w:basedOn w:val="a"/>
    <w:rsid w:val="00A06FC5"/>
    <w:pPr>
      <w:spacing w:before="100" w:beforeAutospacing="1" w:after="100" w:afterAutospacing="1"/>
    </w:pPr>
    <w:rPr>
      <w:rFonts w:eastAsia="Times New Roman" w:cs="Times New Roman"/>
      <w:sz w:val="24"/>
      <w:szCs w:val="24"/>
      <w:lang w:eastAsia="ru-RU"/>
    </w:rPr>
  </w:style>
  <w:style w:type="paragraph" w:customStyle="1" w:styleId="b5ca3e9055c719ecdisclaimer">
    <w:name w:val="b5ca3e9055c719ecdisclaimer"/>
    <w:basedOn w:val="a"/>
    <w:rsid w:val="00A06FC5"/>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pgu/eds" TargetMode="External"/><Relationship Id="rId3" Type="http://schemas.openxmlformats.org/officeDocument/2006/relationships/settings" Target="settings.xml"/><Relationship Id="rId7" Type="http://schemas.openxmlformats.org/officeDocument/2006/relationships/hyperlink" Target="http://www.rg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gs.ru/" TargetMode="External"/><Relationship Id="rId5" Type="http://schemas.openxmlformats.org/officeDocument/2006/relationships/hyperlink" Target="mailto:rgs@rgs.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2023-05-01T17:05:00Z</cp:lastPrinted>
  <dcterms:created xsi:type="dcterms:W3CDTF">2023-04-30T14:19:00Z</dcterms:created>
  <dcterms:modified xsi:type="dcterms:W3CDTF">2023-05-11T14:46:00Z</dcterms:modified>
</cp:coreProperties>
</file>