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mbeddings/oleObject1.bin" ContentType="application/vnd.openxmlformats-officedocument.oleObject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wmf" ContentType="image/x-wmf"/>
  <Override PartName="/word/theme/theme1.xml" ContentType="application/vnd.openxmlformats-officedocument.theme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ind w:left="57" w:right="57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ДОГОВОР № </w:t>
      </w:r>
    </w:p>
    <w:p>
      <w:pPr>
        <w:pStyle w:val="Normal"/>
        <w:widowControl w:val="false"/>
        <w:spacing w:lineRule="auto" w:line="240" w:before="0" w:after="0"/>
        <w:ind w:left="57" w:right="57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участия в долевом строительстве многоквартирного жилого дома</w:t>
      </w:r>
    </w:p>
    <w:p>
      <w:pPr>
        <w:pStyle w:val="Normal"/>
        <w:widowControl w:val="false"/>
        <w:spacing w:lineRule="auto" w:line="240" w:before="0" w:after="0"/>
        <w:ind w:left="57" w:right="57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7940" w:leader="none"/>
        </w:tabs>
        <w:spacing w:lineRule="auto" w:line="240" w:before="0" w:after="0"/>
        <w:ind w:left="57" w:right="5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город Котлас                                                                           «07» ноября 2023  года</w:t>
      </w:r>
    </w:p>
    <w:p>
      <w:pPr>
        <w:pStyle w:val="Normal"/>
        <w:widowControl w:val="false"/>
        <w:tabs>
          <w:tab w:val="clear" w:pos="708"/>
          <w:tab w:val="left" w:pos="7940" w:leader="none"/>
        </w:tabs>
        <w:spacing w:lineRule="auto" w:line="240" w:before="0" w:after="0"/>
        <w:ind w:left="57" w:right="5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567" w:right="57" w:firstLine="651"/>
        <w:jc w:val="both"/>
        <w:rPr/>
      </w:pP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Общество с ограниченной ответственностью «Специализированный застройщик </w:t>
      </w:r>
      <w:r>
        <w:rPr>
          <w:rFonts w:eastAsia="Times New Roman" w:cs="Times New Roman" w:ascii="Times New Roman" w:hAnsi="Times New Roman"/>
          <w:lang w:eastAsia="ru-RU"/>
        </w:rPr>
        <w:t xml:space="preserve"> именуемое в дальнейшем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>«Застройщик»</w:t>
      </w:r>
      <w:r>
        <w:rPr>
          <w:rFonts w:eastAsia="Times New Roman" w:cs="Times New Roman" w:ascii="Times New Roman" w:hAnsi="Times New Roman"/>
          <w:lang w:eastAsia="ru-RU"/>
        </w:rPr>
        <w:t xml:space="preserve">, в лице Генерального директора , действующего на основании Устава, с одной стороны, и </w:t>
      </w:r>
    </w:p>
    <w:p>
      <w:pPr>
        <w:pStyle w:val="Normal"/>
        <w:widowControl w:val="false"/>
        <w:spacing w:lineRule="auto" w:line="240" w:before="0" w:after="0"/>
        <w:ind w:left="567" w:right="57" w:firstLine="65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567" w:right="57" w:firstLine="651"/>
        <w:jc w:val="both"/>
        <w:rPr/>
      </w:pPr>
      <w:r>
        <w:rPr>
          <w:rFonts w:eastAsia="Times New Roman" w:cs="Times New Roman" w:ascii="Times New Roman" w:hAnsi="Times New Roman"/>
          <w:lang w:eastAsia="ru-RU"/>
        </w:rPr>
        <w:t>Участник долевого строительств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>а</w:t>
      </w:r>
      <w:r>
        <w:rPr>
          <w:rFonts w:eastAsia="Times New Roman" w:cs="Times New Roman" w:ascii="Times New Roman" w:hAnsi="Times New Roman"/>
          <w:lang w:eastAsia="ru-RU"/>
        </w:rPr>
        <w:t>, , именуемая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lang w:eastAsia="ru-RU"/>
        </w:rPr>
        <w:t xml:space="preserve">в дальнейшем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«Участник», </w:t>
      </w:r>
      <w:r>
        <w:rPr>
          <w:rFonts w:eastAsia="Times New Roman" w:cs="Times New Roman" w:ascii="Times New Roman" w:hAnsi="Times New Roman"/>
          <w:lang w:eastAsia="ru-RU"/>
        </w:rPr>
        <w:t>с другой стороны, вместе именуемые в дальнейшем «Стороны», заключили настоящий договор (далее по тексту - Договор) о нижеследующем</w:t>
      </w:r>
    </w:p>
    <w:p>
      <w:pPr>
        <w:pStyle w:val="Normal"/>
        <w:widowControl w:val="false"/>
        <w:spacing w:lineRule="auto" w:line="240" w:before="0" w:after="0"/>
        <w:ind w:left="57" w:right="57" w:firstLine="65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right="57" w:hanging="0"/>
        <w:jc w:val="center"/>
        <w:rPr>
          <w:rFonts w:ascii="Times New Roman" w:hAnsi="Times New Roman" w:eastAsia="Times New Roman" w:cs="Times New Roman"/>
          <w:b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  <w:t>Предмет договора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ind w:right="57" w:hanging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567" w:leader="none"/>
          <w:tab w:val="center" w:pos="5918" w:leader="none"/>
          <w:tab w:val="left" w:pos="6586" w:leader="none"/>
        </w:tabs>
        <w:spacing w:lineRule="auto" w:line="240" w:before="0" w:after="0"/>
        <w:ind w:left="567" w:hanging="567"/>
        <w:jc w:val="both"/>
        <w:rPr/>
      </w:pPr>
      <w:r>
        <w:rPr>
          <w:rFonts w:eastAsia="Times New Roman" w:cs="Times New Roman" w:ascii="Times New Roman" w:hAnsi="Times New Roman"/>
          <w:lang w:eastAsia="ru-RU"/>
        </w:rPr>
        <w:t xml:space="preserve">В соответствии с настоящим Договором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Застройщик </w:t>
      </w:r>
      <w:r>
        <w:rPr>
          <w:rFonts w:eastAsia="Times New Roman" w:cs="Times New Roman" w:ascii="Times New Roman" w:hAnsi="Times New Roman"/>
          <w:lang w:eastAsia="ru-RU"/>
        </w:rPr>
        <w:t xml:space="preserve">обязуется в предусмотренный Договором срок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своими силами и (или) с привлечением других лиц построить (создать) </w:t>
      </w:r>
      <w:r>
        <w:rPr>
          <w:rFonts w:eastAsia="Times New Roman" w:cs="Times New Roman" w:ascii="Times New Roman" w:hAnsi="Times New Roman"/>
          <w:lang w:eastAsia="ru-RU"/>
        </w:rPr>
        <w:t xml:space="preserve">многоквартирный  жилой дом по адресу: 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Передаваемый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Участнику Застройщиком </w:t>
      </w:r>
      <w:r>
        <w:rPr>
          <w:rFonts w:eastAsia="Times New Roman" w:cs="Times New Roman" w:ascii="Times New Roman" w:hAnsi="Times New Roman"/>
          <w:lang w:eastAsia="ru-RU"/>
        </w:rPr>
        <w:t xml:space="preserve">в счет исполнения своих обязательств по настоящему Договору объект долевого строительства -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жилое помещение </w:t>
      </w:r>
      <w:r>
        <w:rPr>
          <w:rFonts w:eastAsia="Times New Roman" w:cs="Times New Roman" w:ascii="Times New Roman" w:hAnsi="Times New Roman"/>
          <w:lang w:eastAsia="ru-RU"/>
        </w:rPr>
        <w:t>(далее по тексту Договора - Квартира), имеет следующие проектные характеристики: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567"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Style w:val="a3"/>
        <w:tblW w:w="9356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294"/>
        <w:gridCol w:w="1417"/>
        <w:gridCol w:w="1416"/>
        <w:gridCol w:w="1258"/>
        <w:gridCol w:w="992"/>
        <w:gridCol w:w="1416"/>
        <w:gridCol w:w="1"/>
        <w:gridCol w:w="1561"/>
      </w:tblGrid>
      <w:tr>
        <w:trPr>
          <w:trHeight w:val="235" w:hRule="atLeast"/>
        </w:trPr>
        <w:tc>
          <w:tcPr>
            <w:tcW w:w="1294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shd w:fill="FFFFFF" w:val="clear"/>
                <w:lang w:eastAsia="ru-RU"/>
              </w:rPr>
              <w:t>Условный (проектный) № квартиры</w:t>
            </w:r>
          </w:p>
        </w:tc>
        <w:tc>
          <w:tcPr>
            <w:tcW w:w="1417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shd w:fill="FFFFFF" w:val="clear"/>
                <w:lang w:eastAsia="ru-RU"/>
              </w:rPr>
              <w:t>Оси</w:t>
            </w:r>
          </w:p>
        </w:tc>
        <w:tc>
          <w:tcPr>
            <w:tcW w:w="1416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shd w:fill="FFFFFF" w:val="clear"/>
                <w:lang w:eastAsia="ru-RU"/>
              </w:rPr>
              <w:t>Этаж расположения</w:t>
            </w:r>
          </w:p>
        </w:tc>
        <w:tc>
          <w:tcPr>
            <w:tcW w:w="3667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shd w:fill="FFFFFF" w:val="clear"/>
                <w:lang w:eastAsia="ru-RU"/>
              </w:rPr>
              <w:t>Проектная площадь, кв.м.</w:t>
            </w:r>
          </w:p>
        </w:tc>
        <w:tc>
          <w:tcPr>
            <w:tcW w:w="156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187" w:hRule="atLeast"/>
        </w:trPr>
        <w:tc>
          <w:tcPr>
            <w:tcW w:w="1294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17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16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58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shd w:fill="FFFFFF" w:val="clear"/>
                <w:lang w:eastAsia="ru-RU"/>
              </w:rPr>
              <w:t>Общая приведенная (с учетом площади лоджии c k-0,5)</w:t>
            </w:r>
          </w:p>
        </w:tc>
        <w:tc>
          <w:tcPr>
            <w:tcW w:w="992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shd w:fill="FFFFFF" w:val="clear"/>
                <w:lang w:eastAsia="ru-RU"/>
              </w:rPr>
              <w:t>Общая (без учета площади лоджий)</w:t>
            </w:r>
          </w:p>
        </w:tc>
        <w:tc>
          <w:tcPr>
            <w:tcW w:w="141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left="-108" w:right="-109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shd w:fill="FFFFFF" w:val="clear"/>
                <w:lang w:eastAsia="ru-RU"/>
              </w:rPr>
              <w:t>Проектная площадь</w:t>
            </w:r>
          </w:p>
        </w:tc>
        <w:tc>
          <w:tcPr>
            <w:tcW w:w="156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shd w:fill="FFFFFF" w:val="clear"/>
                <w:lang w:eastAsia="ru-RU"/>
              </w:rPr>
              <w:t>Кол-во комнат</w:t>
            </w:r>
          </w:p>
        </w:tc>
      </w:tr>
      <w:tr>
        <w:trPr>
          <w:trHeight w:val="182" w:hRule="atLeast"/>
        </w:trPr>
        <w:tc>
          <w:tcPr>
            <w:tcW w:w="1294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both"/>
              <w:rPr>
                <w:rFonts w:ascii="Times New Roman" w:hAnsi="Times New Roman" w:eastAsia="Times New Roman" w:cs="Times New Roman"/>
                <w:i/>
                <w:i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  <w:szCs w:val="16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both"/>
              <w:rPr>
                <w:rFonts w:ascii="Times New Roman" w:hAnsi="Times New Roman" w:eastAsia="Times New Roman" w:cs="Times New Roman"/>
                <w:i/>
                <w:i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  <w:szCs w:val="16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А-Г/6-7</w:t>
            </w:r>
          </w:p>
        </w:tc>
        <w:tc>
          <w:tcPr>
            <w:tcW w:w="1416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1258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both"/>
              <w:rPr>
                <w:rFonts w:ascii="Times New Roman" w:hAnsi="Times New Roman" w:eastAsia="Times New Roman" w:cs="Times New Roman"/>
                <w:i/>
                <w:i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  <w:szCs w:val="16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i/>
                <w:i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  <w:szCs w:val="16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60,2</w:t>
            </w:r>
          </w:p>
        </w:tc>
        <w:tc>
          <w:tcPr>
            <w:tcW w:w="992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shd w:fill="FFFFFF" w:val="clear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9"/>
                <w:szCs w:val="19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58,7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left="-108" w:right="-109" w:hanging="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Комната 1– 13,7</w:t>
            </w:r>
          </w:p>
        </w:tc>
        <w:tc>
          <w:tcPr>
            <w:tcW w:w="1562" w:type="dxa"/>
            <w:gridSpan w:val="2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right="57" w:hanging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</w:tr>
      <w:tr>
        <w:trPr>
          <w:trHeight w:val="128" w:hRule="atLeast"/>
        </w:trPr>
        <w:tc>
          <w:tcPr>
            <w:tcW w:w="1294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17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16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5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2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9"/>
                <w:szCs w:val="19"/>
                <w:lang w:eastAsia="ru-RU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left="-108" w:right="-109" w:hanging="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Комната 2 – 16,1</w:t>
            </w:r>
          </w:p>
        </w:tc>
        <w:tc>
          <w:tcPr>
            <w:tcW w:w="1562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128" w:hRule="atLeast"/>
        </w:trPr>
        <w:tc>
          <w:tcPr>
            <w:tcW w:w="1294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17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16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5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2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9"/>
                <w:szCs w:val="19"/>
                <w:lang w:eastAsia="ru-RU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left="-108" w:right="-109" w:hanging="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Ванная- 4,2</w:t>
            </w:r>
          </w:p>
        </w:tc>
        <w:tc>
          <w:tcPr>
            <w:tcW w:w="1562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128" w:hRule="atLeast"/>
        </w:trPr>
        <w:tc>
          <w:tcPr>
            <w:tcW w:w="1294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17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16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5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2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9"/>
                <w:szCs w:val="19"/>
                <w:lang w:eastAsia="ru-RU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left="-108" w:right="-109" w:hanging="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Сан.узел – 1,7</w:t>
            </w:r>
          </w:p>
        </w:tc>
        <w:tc>
          <w:tcPr>
            <w:tcW w:w="1562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199" w:hRule="atLeast"/>
        </w:trPr>
        <w:tc>
          <w:tcPr>
            <w:tcW w:w="1294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17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16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5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2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9"/>
                <w:szCs w:val="19"/>
                <w:lang w:eastAsia="ru-RU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left="-108" w:right="-109" w:hanging="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Коридор- 9,8</w:t>
            </w:r>
          </w:p>
        </w:tc>
        <w:tc>
          <w:tcPr>
            <w:tcW w:w="1562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199" w:hRule="atLeast"/>
        </w:trPr>
        <w:tc>
          <w:tcPr>
            <w:tcW w:w="1294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17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16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5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2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9"/>
                <w:szCs w:val="19"/>
                <w:lang w:eastAsia="ru-RU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left="-108" w:right="-109" w:hanging="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Гардероб – 2,0</w:t>
            </w:r>
          </w:p>
        </w:tc>
        <w:tc>
          <w:tcPr>
            <w:tcW w:w="1562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187" w:hRule="atLeast"/>
        </w:trPr>
        <w:tc>
          <w:tcPr>
            <w:tcW w:w="1294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17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16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5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2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9"/>
                <w:szCs w:val="19"/>
                <w:lang w:eastAsia="ru-RU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left="-108" w:right="-109" w:hanging="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Кухня –  11,2</w:t>
            </w:r>
          </w:p>
        </w:tc>
        <w:tc>
          <w:tcPr>
            <w:tcW w:w="1562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233" w:hRule="atLeast"/>
        </w:trPr>
        <w:tc>
          <w:tcPr>
            <w:tcW w:w="1294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17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416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5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2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9"/>
                <w:szCs w:val="19"/>
                <w:lang w:eastAsia="ru-RU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left="-108" w:right="-109" w:hanging="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Лоджия – 3,0 (1,5)</w:t>
            </w:r>
          </w:p>
        </w:tc>
        <w:tc>
          <w:tcPr>
            <w:tcW w:w="1562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ind w:right="57" w:hanging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План Квартиры и её местоположение на этаже, указанном в п. 1.2. Договора, содержатся в Приложении к настоящему Договору, которое является его неотъемлемой частью.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Окончание строительства Жилого дома планируется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Застройщиком </w:t>
      </w:r>
      <w:r>
        <w:rPr>
          <w:rFonts w:eastAsia="Times New Roman" w:cs="Times New Roman" w:ascii="Times New Roman" w:hAnsi="Times New Roman"/>
          <w:lang w:eastAsia="ru-RU"/>
        </w:rPr>
        <w:t xml:space="preserve"> 15.01.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>2025 года</w:t>
      </w:r>
      <w:r>
        <w:rPr>
          <w:rFonts w:eastAsia="Times New Roman" w:cs="Times New Roman" w:ascii="Times New Roman" w:hAnsi="Times New Roman"/>
          <w:shd w:fill="FFFFFF" w:val="clear"/>
          <w:lang w:eastAsia="ru-RU"/>
        </w:rPr>
        <w:t>. Застройщик передает Участнику Квартиру по акту приема-передачи в собственность течении трех месяцев с момента получения разрешения на ввод в эксплуатацию объекта.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Указанные в п.1.2 Договора номер Квартиры, её общая и жилая площади, площади и наименования подсобных и вспомогательных помещений (лоджий и/или балконов) являются проектными. Фактические номер Квартиры, её общая и жилая площади, площади и наименования подсобных и вспомогательных помещений (лоджий и/или балконов) будут определены на основании результатов первичной технической инвентаризации построенного (созданного) Жилого дома, и указаны Сторонами в акте приема-передачи Квартиры.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Адрес Жилого дома, указанный в п. 1.1. настоящего Договора, является строительным, и может быть изменён за период строительства. Фактический (почтовый) адрес Жилого дома будет указан Сторонами в акте приема-передачи Квартиры, на основании данных о полном адресе объекта капитального строительства, содержащихся в разрешении на ввод Жилого дома в эксплуатацию.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567"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567"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2582" w:leader="none"/>
        </w:tabs>
        <w:spacing w:lineRule="auto" w:line="240" w:before="0" w:after="0"/>
        <w:ind w:left="567" w:right="57" w:hanging="567"/>
        <w:jc w:val="center"/>
        <w:rPr>
          <w:rFonts w:ascii="Times New Roman" w:hAnsi="Times New Roman" w:eastAsia="Times New Roman" w:cs="Times New Roman"/>
          <w:b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  <w:t>Цена договора, условия её изменения и порядок оплаты</w:t>
      </w:r>
    </w:p>
    <w:p>
      <w:pPr>
        <w:pStyle w:val="Normal"/>
        <w:widowControl w:val="false"/>
        <w:tabs>
          <w:tab w:val="clear" w:pos="708"/>
          <w:tab w:val="left" w:pos="2582" w:leader="none"/>
        </w:tabs>
        <w:spacing w:lineRule="auto" w:line="240" w:before="0" w:after="0"/>
        <w:ind w:left="567" w:right="57" w:hanging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Цена Договора определена Сторонами </w:t>
      </w:r>
      <w:r>
        <w:rPr>
          <w:rFonts w:eastAsia="Times New Roman" w:cs="Times New Roman" w:ascii="Times New Roman" w:hAnsi="Times New Roman"/>
          <w:lang w:eastAsia="ru-RU"/>
        </w:rPr>
        <w:t xml:space="preserve">в размере 3 130 400,00 (Три миллиона сто тридцать тысяч четыреста) рублей 00 копеек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>(далее по тексту - цена Договора).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Цена Договора определена Сторонами как сумма денежных средств на возмещение затрат на строительство (создание) объекта долевого строительства и денежных средств на оплату услуг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>Застройщика</w:t>
      </w:r>
      <w:r>
        <w:rPr>
          <w:rFonts w:eastAsia="Times New Roman" w:cs="Times New Roman" w:ascii="Times New Roman" w:hAnsi="Times New Roman"/>
          <w:lang w:eastAsia="ru-RU"/>
        </w:rPr>
        <w:t>.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458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lang w:eastAsia="ru-RU"/>
        </w:rPr>
        <w:t xml:space="preserve">Цена Договора, указанная в п. 2.1, не окончательная, она подлежит изменению после заключения настоящего Договора в случае, если по результатам первичной технической инвентаризации построенного (созданного) Жилого дома фактическая общая площадь Квартиры и фактическая площадь вспомогательных помещений (лоджий и/или балконов) уменьшатся или увеличатся по сравнению с проектными данными, указанными в п. 1.2. настоящего Договора. Окончательная цена Договора рассчитывается Сторонами как произведение стоимости одного квадратного метра в размере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50 000 (Пятьдесят тысяч) рублей </w:t>
      </w:r>
      <w:r>
        <w:rPr>
          <w:rFonts w:eastAsia="Times New Roman" w:cs="Times New Roman" w:ascii="Times New Roman" w:hAnsi="Times New Roman"/>
          <w:lang w:eastAsia="ru-RU"/>
        </w:rPr>
        <w:t xml:space="preserve">и фактической общей приведенной (расчетной) площади Квартиры на первом и пятом этажах, и в размере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52 000 (Пятьдесят две тысячи) рублей </w:t>
      </w:r>
      <w:r>
        <w:rPr>
          <w:rFonts w:eastAsia="Times New Roman" w:cs="Times New Roman" w:ascii="Times New Roman" w:hAnsi="Times New Roman"/>
          <w:lang w:eastAsia="ru-RU"/>
        </w:rPr>
        <w:t xml:space="preserve">и фактической общей приведенной (расчетной) площади Квартиры на втором, третьем и четвертом этажах. Фактическая общая приведенная (расчетная) площадь Квартиры состоит из суммы фактической общей площади Квартиры и фактической площади вспомогательных помещений. </w:t>
      </w:r>
    </w:p>
    <w:p>
      <w:pPr>
        <w:pStyle w:val="Normal"/>
        <w:widowControl w:val="false"/>
        <w:tabs>
          <w:tab w:val="clear" w:pos="708"/>
          <w:tab w:val="left" w:pos="458" w:leader="none"/>
        </w:tabs>
        <w:spacing w:lineRule="auto" w:line="240" w:before="0" w:after="0"/>
        <w:ind w:left="567"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Указанная в настоящем пункте стоимость одного квадратного метра не является окончательной, подлежит изменению за период действия настоящего Договора в соответствии с его условиями.</w:t>
      </w:r>
    </w:p>
    <w:p>
      <w:pPr>
        <w:pStyle w:val="Normal"/>
        <w:widowControl w:val="false"/>
        <w:tabs>
          <w:tab w:val="clear" w:pos="708"/>
          <w:tab w:val="left" w:pos="458" w:leader="none"/>
        </w:tabs>
        <w:spacing w:lineRule="auto" w:line="240" w:before="0" w:after="0"/>
        <w:ind w:left="567"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567" w:hanging="567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2.4. Расчеты между сторонами производятся с использованием счета эскроу </w:t>
      </w:r>
    </w:p>
    <w:p>
      <w:pPr>
        <w:pStyle w:val="Normal"/>
        <w:widowControl w:val="false"/>
        <w:spacing w:lineRule="auto" w:line="240" w:before="0" w:after="0"/>
        <w:ind w:left="567" w:hanging="567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          </w:t>
      </w:r>
      <w:r>
        <w:rPr>
          <w:rFonts w:eastAsia="Times New Roman" w:cs="Times New Roman" w:ascii="Times New Roman" w:hAnsi="Times New Roman"/>
          <w:b/>
          <w:lang w:eastAsia="ru-RU"/>
        </w:rPr>
        <w:t xml:space="preserve">№  </w:t>
      </w:r>
      <w:r>
        <w:rPr>
          <w:rFonts w:eastAsia="Times New Roman" w:cs="Times New Roman" w:ascii="Times New Roman" w:hAnsi="Times New Roman"/>
          <w:lang w:eastAsia="ru-RU"/>
        </w:rPr>
        <w:t>открытого на имя депонента в уполномоченном банке (эскроу-агенте). Банк получателя: АРХАНГЕЛЬСКОЕ ОТДЕЛЕНИЕ № 8637 ПАО СБЕРБАНК, БИК 041117601, к/с 30101810100000000601.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567"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Эскроу –агент ПАО Сбербанк.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567" w:leader="none"/>
        </w:tabs>
        <w:spacing w:lineRule="exact" w:line="230" w:before="0" w:after="0"/>
        <w:ind w:left="567"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Место нахождения и адрес: Архангельская обл., г. Котлас, Кузнецова, 16.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567" w:leader="none"/>
        </w:tabs>
        <w:spacing w:lineRule="exact" w:line="230" w:before="0" w:after="0"/>
        <w:ind w:left="567"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Номер телефона: 8-800-200-86-03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567" w:leader="none"/>
        </w:tabs>
        <w:spacing w:lineRule="exact" w:line="230" w:before="0" w:after="0"/>
        <w:ind w:left="567"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val="en-US"/>
        </w:rPr>
        <w:t>E</w:t>
      </w: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en-US"/>
        </w:rPr>
        <w:t>mail</w:t>
      </w:r>
      <w:r>
        <w:rPr>
          <w:rFonts w:eastAsia="Times New Roman" w:cs="Times New Roman" w:ascii="Times New Roman" w:hAnsi="Times New Roman"/>
        </w:rPr>
        <w:t>: sberbank@sberbank.ru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567" w:leader="none"/>
        </w:tabs>
        <w:spacing w:lineRule="exact" w:line="230" w:before="0" w:after="0"/>
        <w:ind w:left="567" w:right="57" w:hanging="56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          </w:t>
      </w:r>
      <w:r>
        <w:rPr>
          <w:rFonts w:eastAsia="Times New Roman" w:cs="Times New Roman" w:ascii="Times New Roman" w:hAnsi="Times New Roman"/>
          <w:lang w:eastAsia="ru-RU"/>
        </w:rPr>
        <w:t>Срок условного депонирования денежных средств -  не позднее 30 октября 2024 года.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567" w:leader="none"/>
        </w:tabs>
        <w:spacing w:lineRule="exact" w:line="230" w:before="0" w:after="0"/>
        <w:ind w:left="567" w:right="57" w:hanging="0"/>
        <w:jc w:val="both"/>
        <w:rPr>
          <w:rFonts w:ascii="Times New Roman" w:hAnsi="Times New Roman" w:eastAsia="Times New Roman" w:cs="Times New Roman"/>
          <w:i/>
          <w:i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Срок внесения денежных средств на счет эскроу – не позднее 5 (Пяти) дней с даты государственной регистрации настоящего Договора.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567" w:leader="none"/>
        </w:tabs>
        <w:spacing w:lineRule="exact" w:line="230" w:before="0" w:after="0"/>
        <w:ind w:left="567"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Размер депонируемой суммы размере 3 130 400,00 (Три миллиона сто тридцать тысяч четыреста) рублей 00 копеек.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567" w:leader="none"/>
        </w:tabs>
        <w:spacing w:lineRule="exact" w:line="230" w:before="0" w:after="0"/>
        <w:ind w:left="567"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Участник долевого строительства оплачивает: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567" w:leader="none"/>
        </w:tabs>
        <w:spacing w:lineRule="exact" w:line="230" w:before="0" w:after="0"/>
        <w:ind w:left="567"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За счет собственных средств сумму в размере 3 130 400,00 (Три миллиона сто тридцать тысяч четыреста) рублей 00 копеек – не позднее 5 (Пяти) банковских дней с даты государственной регистрации настоящего Договора.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567" w:leader="none"/>
        </w:tabs>
        <w:spacing w:lineRule="exact" w:line="230" w:before="0" w:after="0"/>
        <w:ind w:left="567"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 цену Договора включены все расходы Застройщика, в том числе, на рекламу Жилого дома при наличии таких расходов, привлечение третьих лиц для организации работы по поиску участников долевого строительства и оформлению, сопровождению договоров с ними, в размере фактических затрат. Кроме того, в цену Договора включаются расходы Застройщика по оплате госпошлины за государственную регистрацию настоящего Договора, изменений и/или дополнений к нему, иные обязательные для Застройщика сборы, установленные законодательством РФ, действующим на момент осуществления регистрационных действий. </w:t>
      </w:r>
    </w:p>
    <w:p>
      <w:pPr>
        <w:pStyle w:val="ListParagraph"/>
        <w:widowControl w:val="false"/>
        <w:shd w:val="clear" w:color="auto" w:fill="FFFFFF"/>
        <w:spacing w:lineRule="exact" w:line="230" w:before="0" w:after="0"/>
        <w:ind w:left="426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 связи с существенным возрастанием стоимости материалов и оборудования, предоставленных подрядчиками (в соответствии со ст. 709 ГК РФ), а также в связи с существенным возрастанием стоимости оказываемых Застройщику третьими лицами услуг, которые нельзя было предусмотреть при заключении настоящего договора, цена указанной Квартиры может увеличиться, но не более 10% от ее стоимости. </w:t>
      </w:r>
    </w:p>
    <w:p>
      <w:pPr>
        <w:pStyle w:val="ListParagraph"/>
        <w:widowControl w:val="false"/>
        <w:shd w:val="clear" w:color="auto" w:fill="FFFFFF"/>
        <w:spacing w:lineRule="exact" w:line="230" w:before="0" w:after="0"/>
        <w:ind w:left="426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Стороны признают, что увеличение цены договора происходит с даты поступления уведомления от Застройщика в почтовое отделение по месту жительства Участника долевого строительства. (ст.165.1. ГК. РФ). Дополнительное соглашение в связи с увеличением цены договора Сторонами не составляется. </w:t>
      </w:r>
    </w:p>
    <w:p>
      <w:pPr>
        <w:pStyle w:val="ListParagraph"/>
        <w:widowControl w:val="false"/>
        <w:shd w:val="clear" w:color="auto" w:fill="FFFFFF"/>
        <w:spacing w:lineRule="exact" w:line="230" w:before="0" w:after="0"/>
        <w:ind w:left="426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426" w:hanging="426"/>
        <w:jc w:val="both"/>
        <w:rPr>
          <w:rFonts w:ascii="Times New Roman" w:hAnsi="Times New Roman" w:eastAsia="Courier New" w:cs="Times New Roman"/>
          <w:color w:val="000000"/>
          <w:lang w:eastAsia="ru-RU"/>
        </w:rPr>
      </w:pPr>
      <w:r>
        <w:rPr>
          <w:rFonts w:eastAsia="Courier New" w:cs="Times New Roman" w:ascii="Times New Roman" w:hAnsi="Times New Roman"/>
          <w:color w:val="000000"/>
          <w:lang w:eastAsia="ru-RU"/>
        </w:rPr>
        <w:t>2.6.  При наступлении оснований для возврата Участнику долевого строительства денежных средств со счета эскроу (в том числе в случае расторжения/прекращения/отказа от исполнения Договора сторонами), денежные средства со счета эскроу подлежат возврату участнику долевого строительства в соответствии с условиями договора счета эскроу.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ind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762" w:leader="none"/>
        </w:tabs>
        <w:spacing w:lineRule="auto" w:line="240" w:before="0" w:after="0"/>
        <w:ind w:left="567" w:right="57" w:hanging="567"/>
        <w:jc w:val="center"/>
        <w:rPr>
          <w:rFonts w:ascii="Times New Roman" w:hAnsi="Times New Roman" w:eastAsia="Times New Roman" w:cs="Times New Roman"/>
          <w:b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  <w:t>Способы обеспечения исполнения застройщиком обязательств по договору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ind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ind w:right="57" w:hanging="0"/>
        <w:jc w:val="both"/>
        <w:rPr/>
      </w:pPr>
      <w:r>
        <w:rPr>
          <w:rFonts w:eastAsia="Times New Roman" w:cs="Times New Roman" w:ascii="Times New Roman" w:hAnsi="Times New Roman"/>
          <w:lang w:eastAsia="ru-RU"/>
        </w:rPr>
        <w:t xml:space="preserve">3.1. Условие привлечения денежных средств Участника долевого строительства: размещение денежных средств Участника долевого строительства на счетах эскроу в порядке, предусмотренном </w:t>
      </w:r>
      <w:hyperlink r:id="rId2">
        <w:r>
          <w:rPr>
            <w:rStyle w:val="ListLabel11"/>
            <w:rFonts w:eastAsia="Times New Roman" w:cs="Times New Roman" w:ascii="Times New Roman" w:hAnsi="Times New Roman"/>
            <w:color w:val="0000FF"/>
            <w:u w:val="single" w:color="0000FF"/>
            <w:lang w:eastAsia="ru-RU"/>
          </w:rPr>
          <w:t xml:space="preserve">статьей 15.4 </w:t>
        </w:r>
      </w:hyperlink>
      <w:hyperlink r:id="rId3">
        <w:r>
          <w:rPr>
            <w:rStyle w:val="ListLabel12"/>
            <w:rFonts w:eastAsia="Times New Roman" w:cs="Times New Roman" w:ascii="Times New Roman" w:hAnsi="Times New Roman"/>
            <w:lang w:eastAsia="ru-RU"/>
          </w:rPr>
          <w:t>З</w:t>
        </w:r>
      </w:hyperlink>
      <w:r>
        <w:rPr>
          <w:rFonts w:eastAsia="Times New Roman" w:cs="Times New Roman" w:ascii="Times New Roman" w:hAnsi="Times New Roman"/>
          <w:lang w:eastAsia="ru-RU"/>
        </w:rPr>
        <w:t>акона.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ind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3912" w:leader="none"/>
        </w:tabs>
        <w:spacing w:lineRule="auto" w:line="240" w:before="0" w:after="0"/>
        <w:ind w:left="567" w:right="57" w:hanging="567"/>
        <w:jc w:val="center"/>
        <w:rPr>
          <w:rFonts w:ascii="Times New Roman" w:hAnsi="Times New Roman" w:eastAsia="Times New Roman" w:cs="Times New Roman"/>
          <w:b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  <w:t>Права и обязанности сторон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574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i/>
          <w:i/>
          <w:iCs/>
          <w:lang w:eastAsia="ru-RU"/>
        </w:rPr>
      </w:pPr>
      <w:r>
        <w:rPr>
          <w:rFonts w:eastAsia="Times New Roman" w:cs="Times New Roman" w:ascii="Times New Roman" w:hAnsi="Times New Roman"/>
          <w:i/>
          <w:iCs/>
          <w:lang w:eastAsia="ru-RU"/>
        </w:rPr>
        <w:t>Застройщик обязуется:</w:t>
      </w:r>
    </w:p>
    <w:p>
      <w:pPr>
        <w:pStyle w:val="Normal"/>
        <w:widowControl w:val="false"/>
        <w:numPr>
          <w:ilvl w:val="2"/>
          <w:numId w:val="7"/>
        </w:numPr>
        <w:tabs>
          <w:tab w:val="clear" w:pos="708"/>
          <w:tab w:val="left" w:pos="574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Своими силами и/или с привлечением других лиц построить (создать) Жилой дом. Вносить в сроки и в порядке, установленные действующим законодательством, в проектную декларацию изменения, касающиеся сведений о Застройщике, проекте строительства, внесении изменений в проектную документацию.</w:t>
      </w:r>
    </w:p>
    <w:p>
      <w:pPr>
        <w:pStyle w:val="Normal"/>
        <w:widowControl w:val="false"/>
        <w:tabs>
          <w:tab w:val="clear" w:pos="708"/>
          <w:tab w:val="left" w:pos="574" w:leader="none"/>
        </w:tabs>
        <w:spacing w:lineRule="auto" w:line="240" w:before="0" w:after="0"/>
        <w:ind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4.1.2.Передать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Участнику </w:t>
      </w:r>
      <w:r>
        <w:rPr>
          <w:rFonts w:eastAsia="Times New Roman" w:cs="Times New Roman" w:ascii="Times New Roman" w:hAnsi="Times New Roman"/>
          <w:lang w:eastAsia="ru-RU"/>
        </w:rPr>
        <w:t>Квартиру в срок, указанный в п.1.4. настоящего Договора.</w:t>
      </w:r>
    </w:p>
    <w:p>
      <w:pPr>
        <w:pStyle w:val="Normal"/>
        <w:widowControl w:val="false"/>
        <w:tabs>
          <w:tab w:val="clear" w:pos="708"/>
          <w:tab w:val="left" w:pos="574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4.1.3.Не менее чем за месяц до наступления установленного Договором срока передачи Квартиры направить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Участнику </w:t>
      </w:r>
      <w:r>
        <w:rPr>
          <w:rFonts w:eastAsia="Times New Roman" w:cs="Times New Roman" w:ascii="Times New Roman" w:hAnsi="Times New Roman"/>
          <w:lang w:eastAsia="ru-RU"/>
        </w:rPr>
        <w:t xml:space="preserve">сообщение о завершении строительства (создания) Жилого дома и о готовности Квартиры к передаче, а также предупредить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Участника </w:t>
      </w:r>
      <w:r>
        <w:rPr>
          <w:rFonts w:eastAsia="Times New Roman" w:cs="Times New Roman" w:ascii="Times New Roman" w:hAnsi="Times New Roman"/>
          <w:lang w:eastAsia="ru-RU"/>
        </w:rPr>
        <w:t xml:space="preserve">о необходимости принятия Квартиры и о последствиях бездействия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Участника, </w:t>
      </w:r>
      <w:r>
        <w:rPr>
          <w:rFonts w:eastAsia="Times New Roman" w:cs="Times New Roman" w:ascii="Times New Roman" w:hAnsi="Times New Roman"/>
          <w:lang w:eastAsia="ru-RU"/>
        </w:rPr>
        <w:t xml:space="preserve">предусмотренных ч. 6 ст. 8 Федерального закона № 214-ФЗ от 30.12.2004. Сообщение направляется по почте заказным письмом с описью вложения и уведомлением о вручении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Участнику </w:t>
      </w:r>
      <w:r>
        <w:rPr>
          <w:rFonts w:eastAsia="Times New Roman" w:cs="Times New Roman" w:ascii="Times New Roman" w:hAnsi="Times New Roman"/>
          <w:lang w:eastAsia="ru-RU"/>
        </w:rPr>
        <w:t xml:space="preserve">по почтовому адресу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Участника, </w:t>
      </w:r>
      <w:r>
        <w:rPr>
          <w:rFonts w:eastAsia="Times New Roman" w:cs="Times New Roman" w:ascii="Times New Roman" w:hAnsi="Times New Roman"/>
          <w:lang w:eastAsia="ru-RU"/>
        </w:rPr>
        <w:t xml:space="preserve">указанному в п. 9 настоящего Договора, или вручается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Участнику </w:t>
      </w:r>
      <w:r>
        <w:rPr>
          <w:rFonts w:eastAsia="Times New Roman" w:cs="Times New Roman" w:ascii="Times New Roman" w:hAnsi="Times New Roman"/>
          <w:lang w:eastAsia="ru-RU"/>
        </w:rPr>
        <w:t>лично под расписку.</w:t>
      </w:r>
    </w:p>
    <w:p>
      <w:pPr>
        <w:pStyle w:val="Normal"/>
        <w:widowControl w:val="false"/>
        <w:tabs>
          <w:tab w:val="clear" w:pos="708"/>
          <w:tab w:val="left" w:pos="574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4.1.4.В случае, если по данным первичной технической инвентаризации фактическая общая приведенная (расчетная) площадь Квартиры уменьшится по сравнению с проектными данными, указанными в п. 1.2. настоящего Договора, произвести возврат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Участнику </w:t>
      </w:r>
      <w:r>
        <w:rPr>
          <w:rFonts w:eastAsia="Times New Roman" w:cs="Times New Roman" w:ascii="Times New Roman" w:hAnsi="Times New Roman"/>
          <w:lang w:eastAsia="ru-RU"/>
        </w:rPr>
        <w:t xml:space="preserve">излишне уплаченных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Участником </w:t>
      </w:r>
      <w:r>
        <w:rPr>
          <w:rFonts w:eastAsia="Times New Roman" w:cs="Times New Roman" w:ascii="Times New Roman" w:hAnsi="Times New Roman"/>
          <w:lang w:eastAsia="ru-RU"/>
        </w:rPr>
        <w:t>денежных средств по окончательной цене Договора, рассчитанной в соответствии с п. 2.3. настоящего Договора, в течение 20 (Двадцати) рабочих дней с момента подписания Сторонами соответствующего документа.</w:t>
      </w:r>
    </w:p>
    <w:p>
      <w:pPr>
        <w:pStyle w:val="Normal"/>
        <w:widowControl w:val="false"/>
        <w:tabs>
          <w:tab w:val="clear" w:pos="708"/>
          <w:tab w:val="left" w:pos="574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4.1.5.В течение 20 (Двадцати) рабочих дней с момента получения от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Участника </w:t>
      </w:r>
      <w:r>
        <w:rPr>
          <w:rFonts w:eastAsia="Times New Roman" w:cs="Times New Roman" w:ascii="Times New Roman" w:hAnsi="Times New Roman"/>
          <w:lang w:eastAsia="ru-RU"/>
        </w:rPr>
        <w:t xml:space="preserve">письменного заявления с требованием об устранении обнаруженных недостатков качества Квартиры, выполнить работу по их устранению своими силами и/или с привлечением третьих лиц, безвозмездно, за счет своих собственных средств, без увеличения впоследствии цены Договора. Если во время устранения недостатков станет очевидным, что они не могут быть устранены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Застройщиком </w:t>
      </w:r>
      <w:r>
        <w:rPr>
          <w:rFonts w:eastAsia="Times New Roman" w:cs="Times New Roman" w:ascii="Times New Roman" w:hAnsi="Times New Roman"/>
          <w:lang w:eastAsia="ru-RU"/>
        </w:rPr>
        <w:t>в вышеуказанный срок, Стороны заключают соглашение о новом сроке устранения недостатков.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574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i/>
          <w:i/>
          <w:iCs/>
          <w:lang w:eastAsia="ru-RU"/>
        </w:rPr>
      </w:pPr>
      <w:r>
        <w:rPr>
          <w:rFonts w:eastAsia="Times New Roman" w:cs="Times New Roman" w:ascii="Times New Roman" w:hAnsi="Times New Roman"/>
          <w:i/>
          <w:iCs/>
          <w:lang w:eastAsia="ru-RU"/>
        </w:rPr>
        <w:t>Застройщик имеет право:</w:t>
      </w:r>
    </w:p>
    <w:p>
      <w:pPr>
        <w:pStyle w:val="Normal"/>
        <w:widowControl w:val="false"/>
        <w:tabs>
          <w:tab w:val="clear" w:pos="708"/>
          <w:tab w:val="left" w:pos="574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4.2.1.Досрочно исполнить свои обязательства по передаче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Участнику </w:t>
      </w:r>
      <w:r>
        <w:rPr>
          <w:rFonts w:eastAsia="Times New Roman" w:cs="Times New Roman" w:ascii="Times New Roman" w:hAnsi="Times New Roman"/>
          <w:lang w:eastAsia="ru-RU"/>
        </w:rPr>
        <w:t>Квартиры (при наличии разрешения на ввод Жилого дома в эксплуатацию). В одностороннем порядке вносить изменения и дополнения в проектную документацию на строящийся Жилой дом в договор аренды земельного участка, в разрешение на строительство, в проектную декларацию и иную документацию, связанную с проектированием и строительством Жилого дома, до момента получения разрешения на ввод Объекта недвижимости в эксплуатацию.</w:t>
      </w:r>
    </w:p>
    <w:p>
      <w:pPr>
        <w:pStyle w:val="Normal"/>
        <w:widowControl w:val="false"/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i/>
          <w:i/>
          <w:iCs/>
          <w:lang w:eastAsia="ru-RU"/>
        </w:rPr>
      </w:pP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4.3. </w:t>
      </w:r>
      <w:r>
        <w:rPr>
          <w:rFonts w:eastAsia="Times New Roman" w:cs="Times New Roman" w:ascii="Times New Roman" w:hAnsi="Times New Roman"/>
          <w:i/>
          <w:iCs/>
          <w:lang w:eastAsia="ru-RU"/>
        </w:rPr>
        <w:t>Участник обязуется: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Уплатить обусловленную Договором цену в размере, порядке и сроки, установленные в пп. 2.1., 2.4. настоящего Договора.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 период действия настоящего Договора не производить изменений плана Квартиры, в том числе: не осуществлять перенос внутренних перегородок, не обустраивать проёмы в стенах, не изменять проектное положение сантехнических разводок и стояков, схемы электропроводки, не производить перепланировку или работы по монтажу (демонтажу) любого оборудования, и т.д. и т.п.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 случае если по данным первичной технической инвентаризации фактическая общая приведенная (расчетная) площадь Квартиры увеличится по сравнению с проектными данными, указанными в п. 1.2. настоящего Договора, произвести с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Застройщиком </w:t>
      </w:r>
      <w:r>
        <w:rPr>
          <w:rFonts w:eastAsia="Times New Roman" w:cs="Times New Roman" w:ascii="Times New Roman" w:hAnsi="Times New Roman"/>
          <w:lang w:eastAsia="ru-RU"/>
        </w:rPr>
        <w:t>расчет по окончательной цене Договора, рассчитанной в соответствии с п.2.3. Договора, в течение 20 (Двадцати) рабочих дней с момента получения Участником соответствующего документа с расчетом.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Приступить к принятию Квартиры в течение 7 (Семи) рабочих дней с момента получения сообщения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Застройщика </w:t>
      </w:r>
      <w:r>
        <w:rPr>
          <w:rFonts w:eastAsia="Times New Roman" w:cs="Times New Roman" w:ascii="Times New Roman" w:hAnsi="Times New Roman"/>
          <w:lang w:eastAsia="ru-RU"/>
        </w:rPr>
        <w:t>о завершении строительства (создания) Жилого дома и о готовности Квартиры к передаче, и принять Квартиру в порядке, установленном Федеральным законом № 214-ФЗ от 30.12.2004 и настоящим Договором.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Использовать Квартиру для проживания.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Уведомить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Застройщика </w:t>
      </w:r>
      <w:r>
        <w:rPr>
          <w:rFonts w:eastAsia="Times New Roman" w:cs="Times New Roman" w:ascii="Times New Roman" w:hAnsi="Times New Roman"/>
          <w:lang w:eastAsia="ru-RU"/>
        </w:rPr>
        <w:t xml:space="preserve">об изменении своего места жительства/пребывания в течение 3-х дней с момента постановки на регистрационный учет по новому месту жительства/пребывания. В случае неисполнения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Участником </w:t>
      </w:r>
      <w:r>
        <w:rPr>
          <w:rFonts w:eastAsia="Times New Roman" w:cs="Times New Roman" w:ascii="Times New Roman" w:hAnsi="Times New Roman"/>
          <w:lang w:eastAsia="ru-RU"/>
        </w:rPr>
        <w:t xml:space="preserve">указанного обязательства, местом жительства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Участника </w:t>
      </w:r>
      <w:r>
        <w:rPr>
          <w:rFonts w:eastAsia="Times New Roman" w:cs="Times New Roman" w:ascii="Times New Roman" w:hAnsi="Times New Roman"/>
          <w:lang w:eastAsia="ru-RU"/>
        </w:rPr>
        <w:t xml:space="preserve">на весь период действия Договора считается почтовый адрес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Участника, </w:t>
      </w:r>
      <w:r>
        <w:rPr>
          <w:rFonts w:eastAsia="Times New Roman" w:cs="Times New Roman" w:ascii="Times New Roman" w:hAnsi="Times New Roman"/>
          <w:lang w:eastAsia="ru-RU"/>
        </w:rPr>
        <w:t xml:space="preserve">указанный в п. 9 настоящего Договора, и отправленная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Застройщиком </w:t>
      </w:r>
      <w:r>
        <w:rPr>
          <w:rFonts w:eastAsia="Times New Roman" w:cs="Times New Roman" w:ascii="Times New Roman" w:hAnsi="Times New Roman"/>
          <w:lang w:eastAsia="ru-RU"/>
        </w:rPr>
        <w:t>по указанному адресу корреспонденция является отправленной надлежащим образом.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i/>
          <w:i/>
          <w:iCs/>
          <w:lang w:eastAsia="ru-RU"/>
        </w:rPr>
      </w:pPr>
      <w:r>
        <w:rPr>
          <w:rFonts w:eastAsia="Times New Roman" w:cs="Times New Roman" w:ascii="Times New Roman" w:hAnsi="Times New Roman"/>
          <w:i/>
          <w:iCs/>
          <w:lang w:eastAsia="ru-RU"/>
        </w:rPr>
        <w:t>Участник имеет право: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lang w:eastAsia="ru-RU"/>
        </w:rPr>
        <w:t xml:space="preserve">В случае если оплата цены Договора производится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Участником </w:t>
      </w:r>
      <w:r>
        <w:rPr>
          <w:rFonts w:eastAsia="Times New Roman" w:cs="Times New Roman" w:ascii="Times New Roman" w:hAnsi="Times New Roman"/>
          <w:lang w:eastAsia="ru-RU"/>
        </w:rPr>
        <w:t xml:space="preserve">путем внесения платежей в предусмотренный Договором период, вносить платежи в размере большем, чем это указано в Договоре, при этом размер последующего платежа может быть уменьшен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Участником </w:t>
      </w:r>
      <w:r>
        <w:rPr>
          <w:rFonts w:eastAsia="Times New Roman" w:cs="Times New Roman" w:ascii="Times New Roman" w:hAnsi="Times New Roman"/>
          <w:lang w:eastAsia="ru-RU"/>
        </w:rPr>
        <w:t xml:space="preserve">на размер переплаты по ранее внесенному платежу. При досрочном внесении </w:t>
      </w:r>
      <w:r>
        <w:rPr>
          <w:rFonts w:eastAsia="Times New Roman" w:cs="Times New Roman" w:ascii="Times New Roman" w:hAnsi="Times New Roman"/>
          <w:shd w:fill="FFFFFF" w:val="clear"/>
          <w:lang w:eastAsia="ru-RU"/>
        </w:rPr>
        <w:t xml:space="preserve">Участником </w:t>
      </w:r>
      <w:r>
        <w:rPr>
          <w:rFonts w:eastAsia="Times New Roman" w:cs="Times New Roman" w:ascii="Times New Roman" w:hAnsi="Times New Roman"/>
          <w:lang w:eastAsia="ru-RU"/>
        </w:rPr>
        <w:t>платежей цена Договора, указанная в п.2.1, перерасчету в сторону уменьшения не подлежит.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Стороны обязуются: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lang w:eastAsia="ru-RU"/>
        </w:rPr>
        <w:t>Не позднее 10 (Десяти) рабочих дней с момента подписания настоящего Договора предоставить в орган, осуществляющий государственную регистрацию прав на недвижимое имущество и сделок с ним, заявление о государственной регистрации и все требующиеся от них документы, необходимые для государственной регистрации настоящего Договора. Конкретный день и время представления документов на государственную регистрацию обговариваются Сторонами дополнительно. Стороны обязуются в назначенную дату и время обеспечить в регистрационном органе своё присутствие или присутствие своих представителей с доверенностью, оформленной надлежащим образом. В случае, если в вышеуказанный срок Договор не будет подан на государственную регистрацию, обязательства Сторон по заключению настоящей сделки считаются прекращенными.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Не позднее 3 (Трёх) рабочих дней, следующих за днём окончания срока регистрации, указанного в расписке в получении документов на государственную регистрацию, выданной органом, осуществляющем государственную регистрацию прав на недвижимое имущество и сделок с ним, получить свой экземпляр настоящего Договора со штампом регистрационной надписи, удостоверяющем государственную регистрацию сделки.</w:t>
      </w:r>
    </w:p>
    <w:p>
      <w:pPr>
        <w:pStyle w:val="Normal"/>
        <w:widowControl w:val="false"/>
        <w:tabs>
          <w:tab w:val="clear" w:pos="708"/>
          <w:tab w:val="left" w:pos="560" w:leader="none"/>
        </w:tabs>
        <w:spacing w:lineRule="auto" w:line="240" w:before="0" w:after="0"/>
        <w:ind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4067" w:leader="none"/>
        </w:tabs>
        <w:spacing w:lineRule="auto" w:line="240" w:before="0" w:after="0"/>
        <w:ind w:left="567" w:right="57" w:hanging="567"/>
        <w:jc w:val="center"/>
        <w:rPr>
          <w:rFonts w:ascii="Times New Roman" w:hAnsi="Times New Roman" w:eastAsia="Times New Roman" w:cs="Times New Roman"/>
          <w:b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  <w:t>Ответственность сторон</w:t>
      </w:r>
    </w:p>
    <w:p>
      <w:pPr>
        <w:pStyle w:val="Normal"/>
        <w:widowControl w:val="false"/>
        <w:tabs>
          <w:tab w:val="clear" w:pos="708"/>
          <w:tab w:val="left" w:pos="4067" w:leader="none"/>
        </w:tabs>
        <w:spacing w:lineRule="auto" w:line="240" w:before="0" w:after="0"/>
        <w:ind w:left="567" w:right="57" w:hanging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За нарушение срока передачи Квартиры, указанного в п. 1.4. настоящего Договора,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Застройщик </w:t>
      </w:r>
      <w:r>
        <w:rPr>
          <w:rFonts w:eastAsia="Times New Roman" w:cs="Times New Roman" w:ascii="Times New Roman" w:hAnsi="Times New Roman"/>
          <w:lang w:eastAsia="ru-RU"/>
        </w:rPr>
        <w:t xml:space="preserve">несёт ответственность перед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Участником </w:t>
      </w:r>
      <w:r>
        <w:rPr>
          <w:rFonts w:eastAsia="Times New Roman" w:cs="Times New Roman" w:ascii="Times New Roman" w:hAnsi="Times New Roman"/>
          <w:lang w:eastAsia="ru-RU"/>
        </w:rPr>
        <w:t>в размере, в порядке и на условиях, установленных действующим законодательством РФ.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 случае нарушения сроков внесения денежных средств, указанных в п. 2.4., пп. 4.3.3. настоящего Договора,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 </w:t>
      </w:r>
      <w:r>
        <w:rPr>
          <w:rFonts w:eastAsia="Times New Roman" w:cs="Times New Roman" w:ascii="Times New Roman" w:hAnsi="Times New Roman"/>
          <w:lang w:eastAsia="ru-RU"/>
        </w:rPr>
        <w:t xml:space="preserve">несёт ответственность перед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Застройщиком </w:t>
      </w:r>
      <w:r>
        <w:rPr>
          <w:rFonts w:eastAsia="Times New Roman" w:cs="Times New Roman" w:ascii="Times New Roman" w:hAnsi="Times New Roman"/>
          <w:lang w:eastAsia="ru-RU"/>
        </w:rPr>
        <w:t>в размере 0,1% от суммы просрочки за каждый день просрочки платежа.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 случае уклонения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Участника </w:t>
      </w:r>
      <w:r>
        <w:rPr>
          <w:rFonts w:eastAsia="Times New Roman" w:cs="Times New Roman" w:ascii="Times New Roman" w:hAnsi="Times New Roman"/>
          <w:lang w:eastAsia="ru-RU"/>
        </w:rPr>
        <w:t xml:space="preserve">от принятия Квартиры или при отказе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Участника </w:t>
      </w:r>
      <w:r>
        <w:rPr>
          <w:rFonts w:eastAsia="Times New Roman" w:cs="Times New Roman" w:ascii="Times New Roman" w:hAnsi="Times New Roman"/>
          <w:lang w:eastAsia="ru-RU"/>
        </w:rPr>
        <w:t xml:space="preserve">от принятия Квартиры (за исключением случаев отказа, указанных в законе),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Застройщик </w:t>
      </w:r>
      <w:r>
        <w:rPr>
          <w:rFonts w:eastAsia="Times New Roman" w:cs="Times New Roman" w:ascii="Times New Roman" w:hAnsi="Times New Roman"/>
          <w:lang w:eastAsia="ru-RU"/>
        </w:rPr>
        <w:t xml:space="preserve">вправе в порядке и сроки в соответствии с ч. 6 ст. 8 Федерального закона № 214-ФЗ от 30.12.2004 составить односторонний акт о передаче Квартиры, при этом риск случайной гибели Квартиры признается перешедшим к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Участнику </w:t>
      </w:r>
      <w:r>
        <w:rPr>
          <w:rFonts w:eastAsia="Times New Roman" w:cs="Times New Roman" w:ascii="Times New Roman" w:hAnsi="Times New Roman"/>
          <w:lang w:eastAsia="ru-RU"/>
        </w:rPr>
        <w:t xml:space="preserve">со дня составления одностороннего акта. Указанные меры могут применяться только в случае, если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Застройщик </w:t>
      </w:r>
      <w:r>
        <w:rPr>
          <w:rFonts w:eastAsia="Times New Roman" w:cs="Times New Roman" w:ascii="Times New Roman" w:hAnsi="Times New Roman"/>
          <w:lang w:eastAsia="ru-RU"/>
        </w:rPr>
        <w:t xml:space="preserve">обладает сведениями о получении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Участником </w:t>
      </w:r>
      <w:r>
        <w:rPr>
          <w:rFonts w:eastAsia="Times New Roman" w:cs="Times New Roman" w:ascii="Times New Roman" w:hAnsi="Times New Roman"/>
          <w:lang w:eastAsia="ru-RU"/>
        </w:rPr>
        <w:t xml:space="preserve">сообщения, указанного в пп. 4.1.3. настоящего Договора, либо оператором почтовой связи заказное письмо возвращено с сообщением об отказе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Участника </w:t>
      </w:r>
      <w:r>
        <w:rPr>
          <w:rFonts w:eastAsia="Times New Roman" w:cs="Times New Roman" w:ascii="Times New Roman" w:hAnsi="Times New Roman"/>
          <w:lang w:eastAsia="ru-RU"/>
        </w:rPr>
        <w:t xml:space="preserve">от его получения или в связи с отсутствием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Участника </w:t>
      </w:r>
      <w:r>
        <w:rPr>
          <w:rFonts w:eastAsia="Times New Roman" w:cs="Times New Roman" w:ascii="Times New Roman" w:hAnsi="Times New Roman"/>
          <w:lang w:eastAsia="ru-RU"/>
        </w:rPr>
        <w:t>по указанному в п. 9 настоящего Договора почтовому адресу.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547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Во всем, что не предусмотрено условиями настоящего Договора, Стороны несут ответственность в соответствии с действующим законодательством РФ.</w:t>
      </w:r>
    </w:p>
    <w:p>
      <w:pPr>
        <w:pStyle w:val="Normal"/>
        <w:widowControl w:val="false"/>
        <w:tabs>
          <w:tab w:val="clear" w:pos="708"/>
          <w:tab w:val="left" w:pos="547" w:leader="none"/>
        </w:tabs>
        <w:spacing w:lineRule="auto" w:line="240" w:before="0" w:after="0"/>
        <w:ind w:left="567"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3898" w:leader="none"/>
        </w:tabs>
        <w:spacing w:lineRule="auto" w:line="240" w:before="0" w:after="0"/>
        <w:ind w:left="567" w:right="57" w:hanging="567"/>
        <w:jc w:val="center"/>
        <w:rPr>
          <w:rFonts w:ascii="Times New Roman" w:hAnsi="Times New Roman" w:eastAsia="Times New Roman" w:cs="Times New Roman"/>
          <w:b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  <w:t>Гарантийные обязательства</w:t>
      </w:r>
    </w:p>
    <w:p>
      <w:pPr>
        <w:pStyle w:val="Normal"/>
        <w:widowControl w:val="false"/>
        <w:tabs>
          <w:tab w:val="clear" w:pos="708"/>
          <w:tab w:val="left" w:pos="3898" w:leader="none"/>
        </w:tabs>
        <w:spacing w:lineRule="auto" w:line="240" w:before="0" w:after="0"/>
        <w:ind w:right="57" w:hanging="0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547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Гарантийный срок для Квартиры, за исключением технологического и инженерного оборудования, входящего в её состав, устанавливается на срок 5 (Пять) лет. Указанный гарантийный срок исчисляется со дня передачи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Участнику </w:t>
      </w:r>
      <w:r>
        <w:rPr>
          <w:rFonts w:eastAsia="Times New Roman" w:cs="Times New Roman" w:ascii="Times New Roman" w:hAnsi="Times New Roman"/>
          <w:lang w:eastAsia="ru-RU"/>
        </w:rPr>
        <w:t>Квартиры по акту приема-передачи, за исключением технологического и инженерного оборудования, входящего в её состав.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547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Гарантийный срок на технологическое и инженерное оборудование, входящее в состав передаваемой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Участнику </w:t>
      </w:r>
      <w:r>
        <w:rPr>
          <w:rFonts w:eastAsia="Times New Roman" w:cs="Times New Roman" w:ascii="Times New Roman" w:hAnsi="Times New Roman"/>
          <w:lang w:eastAsia="ru-RU"/>
        </w:rPr>
        <w:t>Квартиры, устанавливается на срок 3 (Три) года. Указанный гарантийный срок исчисляется со дня подписания первого передаточного акта объекта долевого строительства в Жилом доме.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547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 </w:t>
      </w:r>
      <w:r>
        <w:rPr>
          <w:rFonts w:eastAsia="Times New Roman" w:cs="Times New Roman" w:ascii="Times New Roman" w:hAnsi="Times New Roman"/>
          <w:lang w:eastAsia="ru-RU"/>
        </w:rPr>
        <w:t xml:space="preserve">вправе предъявить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Застройщику </w:t>
      </w:r>
      <w:r>
        <w:rPr>
          <w:rFonts w:eastAsia="Times New Roman" w:cs="Times New Roman" w:ascii="Times New Roman" w:hAnsi="Times New Roman"/>
          <w:lang w:eastAsia="ru-RU"/>
        </w:rPr>
        <w:t>требования в связи с ненадлежащим качеством Квартиры в порядке и на условиях, установленных действующим законодательством РФ и настоящим Договором.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708"/>
          <w:tab w:val="left" w:pos="547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Участник теряет право на предъявление требований к Застройщику в случае проведения перепланировки/переоборудования Квартиры либо возникновения недостатков (дефектов) Квартиры вследствие нарушения требований технических регламентов, градостроительных регламентов, а также иных обязательных требований к процессу его эксплуатации либо вследствие ненадлежащего ремонта Квартиры, проведенного самим Участником или привлеченными им третьими лицами.</w:t>
      </w:r>
    </w:p>
    <w:p>
      <w:pPr>
        <w:pStyle w:val="Normal"/>
        <w:widowControl w:val="false"/>
        <w:tabs>
          <w:tab w:val="clear" w:pos="708"/>
          <w:tab w:val="left" w:pos="547" w:leader="none"/>
        </w:tabs>
        <w:spacing w:lineRule="auto" w:line="240" w:before="0" w:after="0"/>
        <w:ind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left="567" w:right="57" w:hanging="567"/>
        <w:jc w:val="center"/>
        <w:rPr>
          <w:rFonts w:ascii="Times New Roman" w:hAnsi="Times New Roman" w:eastAsia="Times New Roman" w:cs="Times New Roman"/>
          <w:b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  <w:t>Основные характеристики жилого дома и комплектация помещения</w:t>
      </w:r>
    </w:p>
    <w:p>
      <w:pPr>
        <w:pStyle w:val="Normal"/>
        <w:widowControl w:val="false"/>
        <w:spacing w:lineRule="auto" w:line="240" w:before="0" w:after="0"/>
        <w:ind w:left="567" w:right="57" w:hanging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numPr>
          <w:ilvl w:val="1"/>
          <w:numId w:val="8"/>
        </w:numPr>
        <w:tabs>
          <w:tab w:val="clear" w:pos="708"/>
          <w:tab w:val="left" w:pos="0" w:leader="none"/>
          <w:tab w:val="left" w:pos="4758" w:leader="none"/>
        </w:tabs>
        <w:spacing w:lineRule="auto" w:line="276" w:before="0" w:after="0"/>
        <w:ind w:left="284" w:right="142" w:hanging="426"/>
        <w:contextualSpacing/>
        <w:jc w:val="both"/>
        <w:rPr>
          <w:rFonts w:ascii="Times New Roman" w:hAnsi="Times New Roman" w:eastAsia="Courier New" w:cs="Times New Roman"/>
          <w:color w:val="000000"/>
          <w:lang w:eastAsia="ru-RU"/>
        </w:rPr>
      </w:pPr>
      <w:r>
        <w:rPr>
          <w:rFonts w:eastAsia="Courier New" w:cs="Times New Roman" w:ascii="Times New Roman" w:hAnsi="Times New Roman"/>
          <w:color w:val="000000"/>
          <w:lang w:eastAsia="ru-RU"/>
        </w:rPr>
        <w:t xml:space="preserve">Жилой дом представляет собой многоквартирный 5-ти этажный жилой дом с инженерными     коммуникациями по адресу: Архангельская область,  </w:t>
      </w:r>
      <w:r>
        <w:rPr>
          <w:rFonts w:eastAsia="Times New Roman" w:cs="Times New Roman" w:ascii="Times New Roman" w:hAnsi="Times New Roman"/>
          <w:lang w:eastAsia="ru-RU"/>
        </w:rPr>
        <w:t>город Котлас, улица Владимира Петухова, дом 11</w:t>
      </w:r>
      <w:r>
        <w:rPr>
          <w:rFonts w:eastAsia="Courier New" w:cs="Times New Roman" w:ascii="Times New Roman" w:hAnsi="Times New Roman"/>
          <w:color w:val="000000"/>
          <w:lang w:eastAsia="ru-RU"/>
        </w:rPr>
        <w:t xml:space="preserve">.   Площадь земельного участка 5 628 кв.м.,  материал наружных стен –кирпич, материал межэтажных перекрытий – сборные железобетонные плиты, уровень ответственности – нормальный, степень огнестойкости – 2. </w:t>
      </w:r>
    </w:p>
    <w:p>
      <w:pPr>
        <w:pStyle w:val="Normal"/>
        <w:widowControl w:val="false"/>
        <w:numPr>
          <w:ilvl w:val="1"/>
          <w:numId w:val="8"/>
        </w:numPr>
        <w:tabs>
          <w:tab w:val="clear" w:pos="708"/>
          <w:tab w:val="left" w:pos="0" w:leader="none"/>
        </w:tabs>
        <w:spacing w:lineRule="auto" w:line="240" w:before="0" w:after="0"/>
        <w:ind w:left="284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Квартира передается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Участнику </w:t>
      </w:r>
      <w:r>
        <w:rPr>
          <w:rFonts w:eastAsia="Times New Roman" w:cs="Times New Roman" w:ascii="Times New Roman" w:hAnsi="Times New Roman"/>
          <w:lang w:eastAsia="ru-RU"/>
        </w:rPr>
        <w:t>со следующими отделочными работами и комплектацией: стены и перегородки  - черновая отделка, потолки - выравнивание поверхностей в виде заделки рустов; окна -установка рам (стеклопакет из ПВХ профиля, откосы, подоконники); двери - установка входных дверей (без установки межкомнатных дверей); система электроснабжения - электротехнические работы, включая установку оборудования (розеток, выключателей); теплоснабжение - котла (в кухне); отопление - установка радиаторов отопления; систем канализации и водоснабжения – монтаж с использованием пластиковых, полимерных, полипропиленовых труб, установка счетчиков учета расхода холодной воды, газа, электроэнергии.</w:t>
      </w:r>
    </w:p>
    <w:p>
      <w:pPr>
        <w:pStyle w:val="Normal"/>
        <w:widowControl w:val="false"/>
        <w:spacing w:lineRule="auto" w:line="240" w:before="0" w:after="0"/>
        <w:ind w:left="284"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Содержащиеся в Приложении на Плане Квартиры схематические изображения ванны,     раковины/раковин, дополнительного унитаза (при наличии в Квартире второго санузла) являются условными и служат исключительно для обозначения помещений санузлов, туалетов, ванных комнат. Указанное оборудование в комплектацию Квартиры не включается.</w:t>
      </w:r>
    </w:p>
    <w:p>
      <w:pPr>
        <w:pStyle w:val="Normal"/>
        <w:widowControl w:val="false"/>
        <w:numPr>
          <w:ilvl w:val="1"/>
          <w:numId w:val="8"/>
        </w:numPr>
        <w:tabs>
          <w:tab w:val="clear" w:pos="708"/>
          <w:tab w:val="left" w:pos="142" w:leader="none"/>
        </w:tabs>
        <w:spacing w:lineRule="auto" w:line="240" w:before="0" w:after="0"/>
        <w:ind w:left="284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   </w:t>
      </w:r>
      <w:r>
        <w:rPr>
          <w:rFonts w:eastAsia="Times New Roman" w:cs="Times New Roman" w:ascii="Times New Roman" w:hAnsi="Times New Roman"/>
          <w:lang w:eastAsia="ru-RU"/>
        </w:rPr>
        <w:t xml:space="preserve">Иные виды работ в Квартире, не упомянутые в п. 7.2 настоящего Договора, и чистовая отделка Квартиры производятся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Участником </w:t>
      </w:r>
      <w:r>
        <w:rPr>
          <w:rFonts w:eastAsia="Times New Roman" w:cs="Times New Roman" w:ascii="Times New Roman" w:hAnsi="Times New Roman"/>
          <w:lang w:eastAsia="ru-RU"/>
        </w:rPr>
        <w:t xml:space="preserve">за счет своих собственных средств после подписания акта приема-передачи. В случае отказа, частичного отказа Участником от указанной в п.7.2. настоящего договора комплектации Квартиры перерасчет Сторонами за работы и материал не производится. </w:t>
      </w:r>
    </w:p>
    <w:p>
      <w:pPr>
        <w:pStyle w:val="Normal"/>
        <w:widowControl w:val="false"/>
        <w:tabs>
          <w:tab w:val="clear" w:pos="708"/>
          <w:tab w:val="left" w:pos="142" w:leader="none"/>
        </w:tabs>
        <w:spacing w:lineRule="auto" w:line="240" w:before="0" w:after="0"/>
        <w:ind w:left="284" w:right="57" w:hanging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3658" w:leader="none"/>
        </w:tabs>
        <w:spacing w:lineRule="auto" w:line="240" w:before="0" w:after="0"/>
        <w:ind w:left="567" w:right="57" w:hanging="567"/>
        <w:jc w:val="center"/>
        <w:rPr>
          <w:rFonts w:ascii="Times New Roman" w:hAnsi="Times New Roman" w:eastAsia="Times New Roman" w:cs="Times New Roman"/>
          <w:b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  <w:t>Иные и заключительные условия</w:t>
      </w:r>
    </w:p>
    <w:p>
      <w:pPr>
        <w:pStyle w:val="Normal"/>
        <w:widowControl w:val="false"/>
        <w:tabs>
          <w:tab w:val="clear" w:pos="708"/>
          <w:tab w:val="left" w:pos="3658" w:leader="none"/>
        </w:tabs>
        <w:spacing w:lineRule="auto" w:line="240" w:before="0" w:after="0"/>
        <w:ind w:left="567" w:right="57" w:hanging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numPr>
          <w:ilvl w:val="1"/>
          <w:numId w:val="6"/>
        </w:numPr>
        <w:tabs>
          <w:tab w:val="clear" w:pos="708"/>
          <w:tab w:val="left" w:pos="547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Настоящий Договор подлежит обязательной государственной регистрации в установленном законом порядке, и считается заключенным с момента такой регистрации.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08"/>
          <w:tab w:val="left" w:pos="547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Изменения и дополнения к настоящему Договору оформляются Сторонами в письменном виде (путём подписания дополнительных соглашений к Договору) и подлежат государственной регистрации в установленном законом порядке.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08"/>
          <w:tab w:val="left" w:pos="547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При внесении изменений и/или дополнений к настоящему Договору одна из Сторон направляет другой стороне проект дополнительного соглашения, который подписывается второй Стороной в течение 3 (Трёх) рабочих дней с момента получения вышеназванного документа. При наличии разногласий по тексту дополнительного соглашения Стороны в трехдневный срок согласуют его окончательную редакцию. В течение 10 (Десяти) рабочих дней с момента подписания дополнительного соглашения Стороны совместно предоставляют в орган, осуществляющий государственную регистрацию прав на недвижимое имущество и сделок с ним, все требующиеся от них документы, необходимые для государственной регистрации данного документа.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08"/>
          <w:tab w:val="left" w:pos="547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Каждая из Сторон самостоятельно оплачивает государственную пошлину за государственную регистрацию настоящего Договора, соглашений об изменении или о расторжении настоящего Договора, включая внесение соответствующих изменений в Единый государственный реестр недвижимости, в размере, установленном законодательством РФ, взимаемую с организаций и физических лиц при их обращении в государственные органы, уполномоченные в соответствии с законодательством РФ осуществлять государственную регистрацию прав на недвижимое имущество и сделок с ним на объекты недвижимого имущества.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Подписанием настоящего Договора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 </w:t>
      </w:r>
      <w:r>
        <w:rPr>
          <w:rFonts w:eastAsia="Times New Roman" w:cs="Times New Roman" w:ascii="Times New Roman" w:hAnsi="Times New Roman"/>
          <w:lang w:eastAsia="ru-RU"/>
        </w:rPr>
        <w:t xml:space="preserve">подтверждает, что до момента подписания настоящего Договора ознакомился с проектной декларацией на Жилой дом действующей в редакции со всеми изменениями и дополнениями на дату подписания настоящего Договора, размещена в сети Интернет на сайте </w:t>
      </w:r>
      <w:r>
        <w:rPr>
          <w:b/>
          <w:i/>
        </w:rPr>
        <w:t>Дом.рф</w:t>
      </w:r>
      <w:r>
        <w:rPr>
          <w:rFonts w:eastAsia="Times New Roman" w:cs="Times New Roman" w:ascii="Times New Roman" w:hAnsi="Times New Roman"/>
          <w:lang w:eastAsia="ru-RU"/>
        </w:rPr>
        <w:t xml:space="preserve">, что содержание вышеуказанных документов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Участнику </w:t>
      </w:r>
      <w:r>
        <w:rPr>
          <w:rFonts w:eastAsia="Times New Roman" w:cs="Times New Roman" w:ascii="Times New Roman" w:hAnsi="Times New Roman"/>
          <w:lang w:eastAsia="ru-RU"/>
        </w:rPr>
        <w:t xml:space="preserve">понятно и что все сведения до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Участника </w:t>
      </w:r>
      <w:r>
        <w:rPr>
          <w:rFonts w:eastAsia="Times New Roman" w:cs="Times New Roman" w:ascii="Times New Roman" w:hAnsi="Times New Roman"/>
          <w:lang w:eastAsia="ru-RU"/>
        </w:rPr>
        <w:t>доведены.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Настоящий Договор может быть расторгнут Сторонами в порядке и по основаниям, установленными действующим законодательством РФ.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Стороны будут разрешать возникающие между ними споры и разногласия путем переговоров, при этом под переговорами понимаются как устные переговоры, проводимые Сторонами (представителями Сторон) во время встреч, так и обмен письменными сообщениями, в том числе направленными посредством почтовой, факсимильной, электронной связи по адресам и телефонам Сторон, указанным в п. 9 настоящего Договора. В случае не достижения в ходе переговоров согласия по спорному вопросу, Стороны обращаются в суд в соответствии с правилами о подведомственности и подсудности, установленными действующим законодательством РФ. 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Уступка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Участником </w:t>
      </w:r>
      <w:r>
        <w:rPr>
          <w:rFonts w:eastAsia="Times New Roman" w:cs="Times New Roman" w:ascii="Times New Roman" w:hAnsi="Times New Roman"/>
          <w:lang w:eastAsia="ru-RU"/>
        </w:rPr>
        <w:t xml:space="preserve">прав требований по настоящему Договору допускается после уплаты им цены Договора или одновременно с переводом долга на нового участника долевого строительства в порядке, установленном Гражданским кодексом РФ. Уступка прав требований по настоящему Договору допускается с момента государственной регистрации Договора до момента подписания сторонами акта приема-передачи. Уступка прав требования по настоящему Договору подлежит обязательной государственной регистрации, расходы по ее регистрации возлагаются на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Участника </w:t>
      </w:r>
      <w:r>
        <w:rPr>
          <w:rFonts w:eastAsia="Times New Roman" w:cs="Times New Roman" w:ascii="Times New Roman" w:hAnsi="Times New Roman"/>
          <w:lang w:eastAsia="ru-RU"/>
        </w:rPr>
        <w:t>и/или третьих лиц, в пользу которых совершается сделка.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Право собственности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Участника </w:t>
      </w:r>
      <w:r>
        <w:rPr>
          <w:rFonts w:eastAsia="Times New Roman" w:cs="Times New Roman" w:ascii="Times New Roman" w:hAnsi="Times New Roman"/>
          <w:lang w:eastAsia="ru-RU"/>
        </w:rPr>
        <w:t xml:space="preserve">на Квартиру подлежит государственной регистрации в установленном законом порядке. Расходы по государственной регистрации права собственности (в том числе расходы по изготовлению технического плана Квартиры и иных документов, оплате государственных пошлин и т.д.)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 </w:t>
      </w:r>
      <w:r>
        <w:rPr>
          <w:rFonts w:eastAsia="Times New Roman" w:cs="Times New Roman" w:ascii="Times New Roman" w:hAnsi="Times New Roman"/>
          <w:lang w:eastAsia="ru-RU"/>
        </w:rPr>
        <w:t>несет самостоятельно.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У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Участника </w:t>
      </w:r>
      <w:r>
        <w:rPr>
          <w:rFonts w:eastAsia="Times New Roman" w:cs="Times New Roman" w:ascii="Times New Roman" w:hAnsi="Times New Roman"/>
          <w:lang w:eastAsia="ru-RU"/>
        </w:rPr>
        <w:t>при возникновении права собственности на Квартиру одновременно возникает доля в праве собственности на общее имущество в Жилом доме, которая не может быть отчуждена или передана отдельно от права собственности на Квартиру. Государственная регистрация возникновения права собственности на Квартиру одновременно является государственной регистрацией неразрывно связанного с ним права общей долевой собственности на общее имущество.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Участнику </w:t>
      </w:r>
      <w:r>
        <w:rPr>
          <w:rFonts w:eastAsia="Times New Roman" w:cs="Times New Roman" w:ascii="Times New Roman" w:hAnsi="Times New Roman"/>
          <w:lang w:eastAsia="ru-RU"/>
        </w:rPr>
        <w:t xml:space="preserve">известно, что с момента принятия Квартиры в собственность (с момента подписания акта приема-передачи) у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Участника </w:t>
      </w:r>
      <w:r>
        <w:rPr>
          <w:rFonts w:eastAsia="Times New Roman" w:cs="Times New Roman" w:ascii="Times New Roman" w:hAnsi="Times New Roman"/>
          <w:lang w:eastAsia="ru-RU"/>
        </w:rPr>
        <w:t>возникает обязанность в полном объеме оплачивать плату за содержание и ремонт Квартиры, включающую в себя плату за услуги и работы по управлению Жилым домом, содержанию, текущему ремонту общего имущества в Жилом доме, и коммунальные услуги (плату за холодное и горячее водоснабжение, водоотведение, электроснабжение, отопление и др.), нести другие обязательные расходы, в порядке и размере, установленными действующим законодательством РФ.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 случае экономии денежных средств, используемых на строительство Жилого дома, эти средства считаются денежными средствами на оплату услуг застройщика, которые расходуются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Застройщиком </w:t>
      </w:r>
      <w:r>
        <w:rPr>
          <w:rFonts w:eastAsia="Times New Roman" w:cs="Times New Roman" w:ascii="Times New Roman" w:hAnsi="Times New Roman"/>
          <w:lang w:eastAsia="ru-RU"/>
        </w:rPr>
        <w:t>по своему усмотрению.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Обязательства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Застройщика </w:t>
      </w:r>
      <w:r>
        <w:rPr>
          <w:rFonts w:eastAsia="Times New Roman" w:cs="Times New Roman" w:ascii="Times New Roman" w:hAnsi="Times New Roman"/>
          <w:lang w:eastAsia="ru-RU"/>
        </w:rPr>
        <w:t xml:space="preserve">по передаче Квартиры считаются исполненными с момента подписания Сторонами акта приема-передачи либо составление одностороннего акта о передаче Квартиры.  Обязательства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 xml:space="preserve">Участника </w:t>
      </w:r>
      <w:r>
        <w:rPr>
          <w:rFonts w:eastAsia="Times New Roman" w:cs="Times New Roman" w:ascii="Times New Roman" w:hAnsi="Times New Roman"/>
          <w:lang w:eastAsia="ru-RU"/>
        </w:rPr>
        <w:t>считаются исполненными с момента уплаты в полном объеме денежных средств в соответствии с настоящим Договором и подписания сторонами акта приема-передачи Квартиры.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Застройщик гарантирует, что на дату заключения настоящего договора указанная Квартира никому не отчуждена, не заложена, не переуступлена, в споре и под запретом (арестом) не состоит, а также отсутствуют права третьих лиц на передаваемую по настоящему договору Квартиру, в т.ч. права на долевое участие в строительстве этой Квартиры.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Содержание настоящего Договора является конфиденциальным. Обязательства по сохранению конфиденциальности лежат на каждой из сторон.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Во всем, что не предусмотрено условиями настоящего Договора, стороны руководствуются действующим законодательством РФ.</w:t>
      </w:r>
    </w:p>
    <w:p>
      <w:pPr>
        <w:pStyle w:val="Normal"/>
        <w:widowControl w:val="false"/>
        <w:numPr>
          <w:ilvl w:val="1"/>
          <w:numId w:val="6"/>
        </w:numPr>
        <w:tabs>
          <w:tab w:val="clear" w:pos="708"/>
          <w:tab w:val="left" w:pos="560" w:leader="none"/>
        </w:tabs>
        <w:spacing w:lineRule="auto" w:line="240" w:before="0" w:after="0"/>
        <w:ind w:left="567" w:right="5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Договор составлен в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ru-RU"/>
        </w:rPr>
        <w:t>2 (Двух) экземплярах</w:t>
      </w:r>
      <w:r>
        <w:rPr>
          <w:rFonts w:eastAsia="Times New Roman" w:cs="Times New Roman" w:ascii="Times New Roman" w:hAnsi="Times New Roman"/>
          <w:lang w:eastAsia="ru-RU"/>
        </w:rPr>
        <w:t>, имеющих равную юридическую силу - по одному для каждой из сторон.</w:t>
      </w:r>
    </w:p>
    <w:p>
      <w:pPr>
        <w:pStyle w:val="Normal"/>
        <w:widowControl w:val="false"/>
        <w:tabs>
          <w:tab w:val="clear" w:pos="708"/>
          <w:tab w:val="left" w:pos="560" w:leader="none"/>
        </w:tabs>
        <w:spacing w:lineRule="auto" w:line="240" w:before="0" w:after="0"/>
        <w:ind w:right="5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0" w:after="0"/>
        <w:ind w:right="57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Паспортные данные, реквизиты, адреса и подписи сторон</w:t>
      </w:r>
    </w:p>
    <w:tbl>
      <w:tblPr>
        <w:tblStyle w:val="a3"/>
        <w:tblW w:w="961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495"/>
        <w:gridCol w:w="490"/>
        <w:gridCol w:w="4631"/>
      </w:tblGrid>
      <w:tr>
        <w:trPr>
          <w:trHeight w:val="7124" w:hRule="atLeast"/>
        </w:trPr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1" w:right="-114" w:hanging="0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51" w:right="-114" w:hanging="0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51" w:right="-114" w:hanging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51" w:right="-114" w:hanging="0"/>
              <w:rPr>
                <w:rFonts w:ascii="Times New Roman" w:hAnsi="Times New Roman" w:eastAsia="Calibri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Генеральный директор</w:t>
            </w:r>
          </w:p>
          <w:p>
            <w:pPr>
              <w:pStyle w:val="Normal"/>
              <w:widowControl w:val="false"/>
              <w:spacing w:lineRule="auto" w:line="240" w:before="0" w:after="0"/>
              <w:ind w:left="-51" w:right="-114" w:hanging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51" w:right="-114" w:hanging="0"/>
              <w:rPr>
                <w:rFonts w:ascii="Courier New" w:hAnsi="Courier New" w:eastAsia="Courier New" w:cs="Courier New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___________________/</w:t>
            </w:r>
          </w:p>
          <w:p>
            <w:pPr>
              <w:pStyle w:val="3"/>
              <w:widowControl w:val="false"/>
              <w:shd w:val="clear" w:color="auto" w:fill="auto"/>
              <w:spacing w:lineRule="auto" w:line="240" w:before="0" w:after="0"/>
              <w:ind w:right="57" w:hanging="0"/>
              <w:jc w:val="left"/>
              <w:rPr>
                <w:rFonts w:ascii="Courier New" w:hAnsi="Courier New" w:eastAsia="Courier New" w:cs="Courier New"/>
                <w:sz w:val="22"/>
                <w:szCs w:val="22"/>
                <w:lang w:eastAsia="ru-RU"/>
              </w:rPr>
            </w:pPr>
            <w:r>
              <w:rPr>
                <w:rFonts w:eastAsia="Courier New" w:cs="Courier New" w:ascii="Courier New" w:hAnsi="Courier New"/>
                <w:sz w:val="22"/>
                <w:szCs w:val="22"/>
                <w:lang w:eastAsia="ru-RU"/>
              </w:rPr>
            </w:r>
          </w:p>
          <w:p>
            <w:pPr>
              <w:pStyle w:val="11"/>
              <w:keepNext w:val="true"/>
              <w:keepLines/>
              <w:widowControl w:val="false"/>
              <w:shd w:val="clear" w:color="auto" w:fill="auto"/>
              <w:tabs>
                <w:tab w:val="clear" w:pos="708"/>
                <w:tab w:val="left" w:pos="4413" w:leader="none"/>
              </w:tabs>
              <w:spacing w:lineRule="auto" w:line="240" w:before="0" w:after="382"/>
              <w:rPr>
                <w:rFonts w:ascii="Times New Roman" w:hAnsi="Times New Roman" w:eastAsia="Courier New" w:cs="Times New Roman"/>
                <w:b w:val="false"/>
                <w:b w:val="false"/>
                <w:bCs w:val="false"/>
                <w:sz w:val="22"/>
                <w:szCs w:val="22"/>
                <w:lang w:eastAsia="ru-RU"/>
              </w:rPr>
            </w:pPr>
            <w:r>
              <w:rPr>
                <w:rFonts w:eastAsia="Courier New" w:cs="Times New Roman" w:ascii="Times New Roman" w:hAnsi="Times New Roman"/>
                <w:b w:val="false"/>
                <w:bCs w:val="false"/>
                <w:sz w:val="22"/>
                <w:szCs w:val="22"/>
                <w:lang w:eastAsia="ru-RU"/>
              </w:rPr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11"/>
              <w:keepNext w:val="true"/>
              <w:keepLines/>
              <w:widowControl w:val="false"/>
              <w:shd w:val="clear" w:color="auto" w:fill="auto"/>
              <w:tabs>
                <w:tab w:val="clear" w:pos="708"/>
                <w:tab w:val="left" w:pos="4413" w:leader="none"/>
              </w:tabs>
              <w:spacing w:lineRule="auto" w:line="240" w:before="0" w:after="382"/>
              <w:rPr>
                <w:rFonts w:ascii="Times New Roman" w:hAnsi="Times New Roman" w:eastAsia="Courier New" w:cs="Times New Roman"/>
                <w:b w:val="false"/>
                <w:b w:val="false"/>
                <w:bCs w:val="false"/>
                <w:sz w:val="22"/>
                <w:szCs w:val="22"/>
                <w:lang w:eastAsia="ru-RU"/>
              </w:rPr>
            </w:pPr>
            <w:r>
              <w:rPr>
                <w:rFonts w:eastAsia="Courier New" w:cs="Times New Roman" w:ascii="Times New Roman" w:hAnsi="Times New Roman"/>
                <w:b w:val="false"/>
                <w:bCs w:val="false"/>
                <w:sz w:val="22"/>
                <w:szCs w:val="22"/>
                <w:lang w:eastAsia="ru-RU"/>
              </w:rPr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21"/>
              <w:widowControl w:val="false"/>
              <w:shd w:fill="FFFFFF" w:val="clear"/>
              <w:tabs>
                <w:tab w:val="clear" w:pos="708"/>
                <w:tab w:val="left" w:pos="2329" w:leader="underscore"/>
              </w:tabs>
              <w:spacing w:lineRule="auto" w:line="240" w:before="240" w:after="0"/>
              <w:ind w:right="57" w:hanging="0"/>
              <w:rPr>
                <w:rFonts w:ascii="Times New Roman" w:hAnsi="Times New Roman" w:cs="Times New Roman"/>
                <w:bCs w:val="false"/>
                <w:iCs/>
                <w:sz w:val="22"/>
                <w:szCs w:val="22"/>
                <w:lang w:bidi="ru-RU"/>
              </w:rPr>
            </w:pPr>
            <w:r>
              <w:rPr>
                <w:rFonts w:eastAsia="Courier New" w:cs="Times New Roman" w:ascii="Times New Roman" w:hAnsi="Times New Roman"/>
                <w:bCs w:val="false"/>
                <w:iCs/>
                <w:sz w:val="22"/>
                <w:szCs w:val="22"/>
                <w:lang w:eastAsia="ru-RU" w:bidi="ru-RU"/>
              </w:rPr>
              <w:t>Участник долевого строительства:</w:t>
            </w:r>
          </w:p>
          <w:p>
            <w:pPr>
              <w:pStyle w:val="21"/>
              <w:widowControl w:val="false"/>
              <w:shd w:fill="FFFFFF" w:val="clear"/>
              <w:tabs>
                <w:tab w:val="clear" w:pos="708"/>
                <w:tab w:val="left" w:pos="2329" w:leader="underscore"/>
              </w:tabs>
              <w:spacing w:lineRule="auto" w:line="240" w:before="240" w:after="0"/>
              <w:ind w:right="57" w:hanging="0"/>
              <w:contextualSpacing/>
              <w:rPr>
                <w:rFonts w:ascii="Times New Roman" w:hAnsi="Times New Roman" w:cs="Times New Roman"/>
                <w:b w:val="false"/>
                <w:b w:val="false"/>
                <w:bCs w:val="false"/>
                <w:iCs/>
                <w:sz w:val="22"/>
                <w:szCs w:val="22"/>
                <w:lang w:bidi="ru-RU"/>
              </w:rPr>
            </w:pPr>
            <w:r>
              <w:rPr>
                <w:rFonts w:eastAsia="Courier New" w:cs="Courier New" w:ascii="Courier New" w:hAnsi="Courier New"/>
                <w:sz w:val="24"/>
                <w:szCs w:val="24"/>
                <w:lang w:eastAsia="ru-RU"/>
              </w:rPr>
            </w:r>
          </w:p>
          <w:p>
            <w:pPr>
              <w:pStyle w:val="21"/>
              <w:widowControl w:val="false"/>
              <w:shd w:fill="FFFFFF" w:val="clear"/>
              <w:tabs>
                <w:tab w:val="clear" w:pos="708"/>
                <w:tab w:val="left" w:pos="2329" w:leader="underscore"/>
              </w:tabs>
              <w:spacing w:lineRule="auto" w:line="240" w:before="240" w:after="0"/>
              <w:ind w:right="57" w:hanging="0"/>
              <w:contextualSpacing/>
              <w:rPr>
                <w:rFonts w:ascii="Times New Roman" w:hAnsi="Times New Roman" w:eastAsia="Courier New" w:cs="Times New Roman"/>
                <w:b w:val="false"/>
                <w:b w:val="false"/>
                <w:bCs w:val="false"/>
                <w:iCs/>
                <w:sz w:val="22"/>
                <w:szCs w:val="22"/>
                <w:lang w:eastAsia="ru-RU" w:bidi="ru-RU"/>
              </w:rPr>
            </w:pPr>
            <w:r>
              <w:rPr>
                <w:rFonts w:eastAsia="Courier New" w:cs="Times New Roman" w:ascii="Times New Roman" w:hAnsi="Times New Roman"/>
                <w:b w:val="false"/>
                <w:bCs w:val="false"/>
                <w:iCs/>
                <w:sz w:val="22"/>
                <w:szCs w:val="22"/>
                <w:lang w:eastAsia="ru-RU" w:bidi="ru-RU"/>
              </w:rPr>
            </w:r>
          </w:p>
          <w:p>
            <w:pPr>
              <w:pStyle w:val="21"/>
              <w:widowControl w:val="false"/>
              <w:shd w:fill="FFFFFF" w:val="clear"/>
              <w:tabs>
                <w:tab w:val="clear" w:pos="708"/>
                <w:tab w:val="left" w:pos="2329" w:leader="underscore"/>
              </w:tabs>
              <w:spacing w:lineRule="auto" w:line="240" w:before="240" w:after="0"/>
              <w:ind w:right="57" w:hanging="0"/>
              <w:contextualSpacing/>
              <w:rPr>
                <w:rFonts w:ascii="Times New Roman" w:hAnsi="Times New Roman" w:eastAsia="Courier New" w:cs="Times New Roman"/>
                <w:bCs w:val="false"/>
                <w:iCs/>
                <w:sz w:val="22"/>
                <w:szCs w:val="22"/>
                <w:lang w:eastAsia="ru-RU" w:bidi="ru-RU"/>
              </w:rPr>
            </w:pPr>
            <w:r>
              <w:rPr>
                <w:rFonts w:eastAsia="Courier New" w:cs="Times New Roman" w:ascii="Times New Roman" w:hAnsi="Times New Roman"/>
                <w:bCs w:val="false"/>
                <w:iCs/>
                <w:sz w:val="22"/>
                <w:szCs w:val="22"/>
                <w:lang w:eastAsia="ru-RU" w:bidi="ru-RU"/>
              </w:rPr>
            </w:r>
          </w:p>
          <w:p>
            <w:pPr>
              <w:pStyle w:val="21"/>
              <w:widowControl w:val="false"/>
              <w:shd w:fill="FFFFFF" w:val="clear"/>
              <w:tabs>
                <w:tab w:val="clear" w:pos="708"/>
                <w:tab w:val="left" w:pos="2329" w:leader="underscore"/>
              </w:tabs>
              <w:spacing w:lineRule="auto" w:line="240" w:before="240" w:after="0"/>
              <w:ind w:right="57" w:hanging="0"/>
              <w:contextualSpacing/>
              <w:rPr>
                <w:rFonts w:ascii="Times New Roman" w:hAnsi="Times New Roman" w:eastAsia="Courier New" w:cs="Times New Roman"/>
                <w:bCs w:val="false"/>
                <w:iCs/>
                <w:sz w:val="22"/>
                <w:szCs w:val="22"/>
                <w:lang w:eastAsia="ru-RU" w:bidi="ru-RU"/>
              </w:rPr>
            </w:pPr>
            <w:r>
              <w:rPr>
                <w:rFonts w:eastAsia="Courier New" w:cs="Times New Roman" w:ascii="Times New Roman" w:hAnsi="Times New Roman"/>
                <w:bCs w:val="false"/>
                <w:iCs/>
                <w:sz w:val="22"/>
                <w:szCs w:val="22"/>
                <w:lang w:eastAsia="ru-RU" w:bidi="ru-RU"/>
              </w:rPr>
            </w:r>
          </w:p>
          <w:p>
            <w:pPr>
              <w:pStyle w:val="21"/>
              <w:widowControl w:val="false"/>
              <w:shd w:fill="FFFFFF" w:val="clear"/>
              <w:tabs>
                <w:tab w:val="clear" w:pos="708"/>
                <w:tab w:val="left" w:pos="2329" w:leader="underscore"/>
              </w:tabs>
              <w:spacing w:lineRule="auto" w:line="240" w:before="240" w:after="0"/>
              <w:ind w:right="57" w:hanging="0"/>
              <w:contextualSpacing/>
              <w:rPr>
                <w:rFonts w:ascii="Times New Roman" w:hAnsi="Times New Roman" w:eastAsia="Courier New" w:cs="Times New Roman"/>
                <w:bCs w:val="false"/>
                <w:iCs/>
                <w:sz w:val="22"/>
                <w:szCs w:val="22"/>
                <w:lang w:eastAsia="ru-RU" w:bidi="ru-RU"/>
              </w:rPr>
            </w:pPr>
            <w:r>
              <w:rPr>
                <w:rFonts w:eastAsia="Courier New" w:cs="Times New Roman" w:ascii="Times New Roman" w:hAnsi="Times New Roman"/>
                <w:bCs w:val="false"/>
                <w:iCs/>
                <w:sz w:val="22"/>
                <w:szCs w:val="22"/>
                <w:lang w:eastAsia="ru-RU" w:bidi="ru-RU"/>
              </w:rPr>
            </w:r>
          </w:p>
          <w:p>
            <w:pPr>
              <w:pStyle w:val="21"/>
              <w:widowControl w:val="false"/>
              <w:shd w:fill="FFFFFF" w:val="clear"/>
              <w:tabs>
                <w:tab w:val="clear" w:pos="708"/>
                <w:tab w:val="left" w:pos="2329" w:leader="underscore"/>
              </w:tabs>
              <w:spacing w:lineRule="auto" w:line="240" w:before="240" w:after="0"/>
              <w:ind w:right="57" w:hanging="0"/>
              <w:contextualSpacing/>
              <w:rPr>
                <w:rFonts w:ascii="Times New Roman" w:hAnsi="Times New Roman" w:eastAsia="Courier New" w:cs="Times New Roman"/>
                <w:bCs w:val="false"/>
                <w:iCs/>
                <w:sz w:val="22"/>
                <w:szCs w:val="22"/>
                <w:lang w:eastAsia="ru-RU" w:bidi="ru-RU"/>
              </w:rPr>
            </w:pPr>
            <w:r>
              <w:rPr>
                <w:rFonts w:eastAsia="Courier New" w:cs="Times New Roman" w:ascii="Times New Roman" w:hAnsi="Times New Roman"/>
                <w:bCs w:val="false"/>
                <w:iCs/>
                <w:sz w:val="22"/>
                <w:szCs w:val="22"/>
                <w:lang w:eastAsia="ru-RU" w:bidi="ru-RU"/>
              </w:rPr>
            </w:r>
          </w:p>
          <w:p>
            <w:pPr>
              <w:pStyle w:val="21"/>
              <w:widowControl w:val="false"/>
              <w:shd w:fill="FFFFFF" w:val="clear"/>
              <w:tabs>
                <w:tab w:val="clear" w:pos="708"/>
                <w:tab w:val="left" w:pos="2329" w:leader="underscore"/>
              </w:tabs>
              <w:spacing w:lineRule="auto" w:line="240" w:before="240" w:after="0"/>
              <w:ind w:right="57" w:hanging="0"/>
              <w:contextualSpacing/>
              <w:rPr>
                <w:rFonts w:ascii="Times New Roman" w:hAnsi="Times New Roman" w:eastAsia="Courier New" w:cs="Times New Roman"/>
                <w:bCs w:val="false"/>
                <w:iCs/>
                <w:sz w:val="22"/>
                <w:szCs w:val="22"/>
                <w:lang w:eastAsia="ru-RU" w:bidi="ru-RU"/>
              </w:rPr>
            </w:pPr>
            <w:r>
              <w:rPr>
                <w:rFonts w:eastAsia="Courier New" w:cs="Times New Roman" w:ascii="Times New Roman" w:hAnsi="Times New Roman"/>
                <w:bCs w:val="false"/>
                <w:iCs/>
                <w:sz w:val="22"/>
                <w:szCs w:val="22"/>
                <w:lang w:eastAsia="ru-RU" w:bidi="ru-RU"/>
              </w:rPr>
            </w:r>
          </w:p>
          <w:p>
            <w:pPr>
              <w:pStyle w:val="21"/>
              <w:widowControl w:val="false"/>
              <w:shd w:fill="FFFFFF" w:val="clear"/>
              <w:tabs>
                <w:tab w:val="clear" w:pos="708"/>
                <w:tab w:val="left" w:pos="2329" w:leader="underscore"/>
              </w:tabs>
              <w:spacing w:lineRule="auto" w:line="240" w:before="240" w:after="0"/>
              <w:ind w:right="57" w:hanging="0"/>
              <w:contextualSpacing/>
              <w:rPr>
                <w:rFonts w:ascii="Times New Roman" w:hAnsi="Times New Roman" w:eastAsia="Courier New" w:cs="Times New Roman"/>
                <w:bCs w:val="false"/>
                <w:iCs/>
                <w:sz w:val="22"/>
                <w:szCs w:val="22"/>
                <w:lang w:eastAsia="ru-RU" w:bidi="ru-RU"/>
              </w:rPr>
            </w:pPr>
            <w:r>
              <w:rPr>
                <w:rFonts w:eastAsia="Courier New" w:cs="Times New Roman" w:ascii="Times New Roman" w:hAnsi="Times New Roman"/>
                <w:bCs w:val="false"/>
                <w:iCs/>
                <w:sz w:val="22"/>
                <w:szCs w:val="22"/>
                <w:lang w:eastAsia="ru-RU" w:bidi="ru-RU"/>
              </w:rPr>
            </w:r>
          </w:p>
          <w:p>
            <w:pPr>
              <w:pStyle w:val="21"/>
              <w:widowControl w:val="false"/>
              <w:shd w:val="clear" w:color="auto" w:fill="auto"/>
              <w:tabs>
                <w:tab w:val="clear" w:pos="708"/>
                <w:tab w:val="left" w:pos="2329" w:leader="underscore"/>
              </w:tabs>
              <w:spacing w:lineRule="auto" w:line="240" w:before="240" w:after="0"/>
              <w:ind w:right="57" w:hanging="0"/>
              <w:jc w:val="left"/>
              <w:rPr>
                <w:rFonts w:ascii="Times New Roman" w:hAnsi="Times New Roman" w:cs="Times New Roman"/>
                <w:bCs w:val="false"/>
                <w:iCs/>
                <w:sz w:val="22"/>
                <w:szCs w:val="22"/>
                <w:lang w:val="en-US" w:bidi="ru-RU"/>
              </w:rPr>
            </w:pPr>
            <w:r>
              <w:rPr>
                <w:rFonts w:eastAsia="Courier New" w:cs="Times New Roman" w:ascii="Times New Roman" w:hAnsi="Times New Roman"/>
                <w:bCs w:val="false"/>
                <w:iCs/>
                <w:sz w:val="22"/>
                <w:szCs w:val="22"/>
                <w:lang w:val="en-US" w:eastAsia="ru-RU" w:bidi="ru-RU"/>
              </w:rPr>
              <w:t>___________________/</w:t>
            </w:r>
            <w:r>
              <w:rPr>
                <w:rFonts w:eastAsia="Courier New" w:cs="Times New Roman" w:ascii="Times New Roman" w:hAnsi="Times New Roman"/>
                <w:bCs w:val="false"/>
                <w:iCs/>
                <w:sz w:val="22"/>
                <w:szCs w:val="22"/>
                <w:lang w:eastAsia="ru-RU" w:bidi="ru-RU"/>
              </w:rPr>
              <w:t>Селянинова Е.Н./</w:t>
            </w:r>
          </w:p>
          <w:p>
            <w:pPr>
              <w:pStyle w:val="21"/>
              <w:widowControl w:val="false"/>
              <w:shd w:val="clear" w:color="auto" w:fill="auto"/>
              <w:tabs>
                <w:tab w:val="clear" w:pos="708"/>
                <w:tab w:val="left" w:pos="2329" w:leader="underscore"/>
              </w:tabs>
              <w:spacing w:lineRule="auto" w:line="240" w:before="240" w:after="0"/>
              <w:ind w:right="57" w:hanging="0"/>
              <w:jc w:val="left"/>
              <w:rPr>
                <w:rFonts w:ascii="Times New Roman" w:hAnsi="Times New Roman" w:eastAsia="Courier New" w:cs="Times New Roman"/>
                <w:b w:val="false"/>
                <w:b w:val="false"/>
                <w:bCs w:val="false"/>
                <w:iCs/>
                <w:sz w:val="22"/>
                <w:szCs w:val="22"/>
                <w:lang w:val="en-US" w:eastAsia="ru-RU" w:bidi="ru-RU"/>
              </w:rPr>
            </w:pPr>
            <w:r>
              <w:rPr>
                <w:rFonts w:eastAsia="Courier New" w:cs="Times New Roman" w:ascii="Times New Roman" w:hAnsi="Times New Roman"/>
                <w:b w:val="false"/>
                <w:bCs w:val="false"/>
                <w:iCs/>
                <w:sz w:val="22"/>
                <w:szCs w:val="22"/>
                <w:lang w:val="en-US" w:eastAsia="ru-RU" w:bidi="ru-RU"/>
              </w:rPr>
            </w:r>
          </w:p>
          <w:p>
            <w:pPr>
              <w:pStyle w:val="21"/>
              <w:widowControl w:val="false"/>
              <w:shd w:val="clear" w:color="auto" w:fill="auto"/>
              <w:tabs>
                <w:tab w:val="clear" w:pos="708"/>
                <w:tab w:val="left" w:pos="2329" w:leader="underscore"/>
              </w:tabs>
              <w:spacing w:lineRule="auto" w:line="240" w:before="240" w:after="0"/>
              <w:ind w:right="57" w:hanging="0"/>
              <w:jc w:val="left"/>
              <w:rPr>
                <w:rFonts w:ascii="Times New Roman" w:hAnsi="Times New Roman" w:eastAsia="Courier New" w:cs="Times New Roman"/>
                <w:b w:val="false"/>
                <w:b w:val="false"/>
                <w:bCs w:val="false"/>
                <w:iCs/>
                <w:sz w:val="22"/>
                <w:szCs w:val="22"/>
                <w:lang w:val="en-US" w:eastAsia="ru-RU" w:bidi="ru-RU"/>
              </w:rPr>
            </w:pPr>
            <w:r>
              <w:rPr>
                <w:rFonts w:eastAsia="Courier New" w:cs="Times New Roman" w:ascii="Times New Roman" w:hAnsi="Times New Roman"/>
                <w:b w:val="false"/>
                <w:bCs w:val="false"/>
                <w:iCs/>
                <w:sz w:val="22"/>
                <w:szCs w:val="22"/>
                <w:lang w:val="en-US" w:eastAsia="ru-RU" w:bidi="ru-RU"/>
              </w:rPr>
            </w:r>
          </w:p>
          <w:p>
            <w:pPr>
              <w:pStyle w:val="21"/>
              <w:widowControl w:val="false"/>
              <w:shd w:val="clear" w:color="auto" w:fill="auto"/>
              <w:tabs>
                <w:tab w:val="clear" w:pos="708"/>
                <w:tab w:val="left" w:pos="2329" w:leader="underscore"/>
              </w:tabs>
              <w:spacing w:lineRule="auto" w:line="240" w:before="240" w:after="0"/>
              <w:ind w:right="57" w:hanging="0"/>
              <w:jc w:val="left"/>
              <w:rPr>
                <w:rFonts w:ascii="Times New Roman" w:hAnsi="Times New Roman" w:eastAsia="Courier New" w:cs="Times New Roman"/>
                <w:b w:val="false"/>
                <w:b w:val="false"/>
                <w:bCs w:val="false"/>
                <w:iCs/>
                <w:sz w:val="22"/>
                <w:szCs w:val="22"/>
                <w:lang w:val="en-US" w:eastAsia="ru-RU" w:bidi="ru-RU"/>
              </w:rPr>
            </w:pPr>
            <w:r>
              <w:rPr>
                <w:rFonts w:eastAsia="Courier New" w:cs="Times New Roman" w:ascii="Times New Roman" w:hAnsi="Times New Roman"/>
                <w:b w:val="false"/>
                <w:bCs w:val="false"/>
                <w:iCs/>
                <w:sz w:val="22"/>
                <w:szCs w:val="22"/>
                <w:lang w:val="en-US" w:eastAsia="ru-RU" w:bidi="ru-RU"/>
              </w:rPr>
            </w:r>
          </w:p>
          <w:p>
            <w:pPr>
              <w:pStyle w:val="21"/>
              <w:widowControl w:val="false"/>
              <w:shd w:val="clear" w:color="auto" w:fill="auto"/>
              <w:tabs>
                <w:tab w:val="clear" w:pos="708"/>
                <w:tab w:val="left" w:pos="2329" w:leader="underscore"/>
              </w:tabs>
              <w:spacing w:lineRule="auto" w:line="240" w:before="240" w:after="0"/>
              <w:ind w:right="57" w:hanging="0"/>
              <w:jc w:val="left"/>
              <w:rPr>
                <w:rFonts w:ascii="Times New Roman" w:hAnsi="Times New Roman" w:eastAsia="Courier New" w:cs="Times New Roman"/>
                <w:b w:val="false"/>
                <w:b w:val="false"/>
                <w:bCs w:val="false"/>
                <w:iCs/>
                <w:sz w:val="22"/>
                <w:szCs w:val="22"/>
                <w:lang w:val="en-US" w:eastAsia="ru-RU" w:bidi="ru-RU"/>
              </w:rPr>
            </w:pPr>
            <w:r>
              <w:rPr>
                <w:rFonts w:eastAsia="Courier New" w:cs="Times New Roman" w:ascii="Times New Roman" w:hAnsi="Times New Roman"/>
                <w:b w:val="false"/>
                <w:bCs w:val="false"/>
                <w:iCs/>
                <w:sz w:val="22"/>
                <w:szCs w:val="22"/>
                <w:lang w:val="en-US" w:eastAsia="ru-RU" w:bidi="ru-RU"/>
              </w:rPr>
            </w:r>
          </w:p>
          <w:p>
            <w:pPr>
              <w:pStyle w:val="21"/>
              <w:widowControl w:val="false"/>
              <w:shd w:val="clear" w:color="auto" w:fill="auto"/>
              <w:tabs>
                <w:tab w:val="clear" w:pos="708"/>
                <w:tab w:val="left" w:pos="2329" w:leader="underscore"/>
              </w:tabs>
              <w:spacing w:lineRule="auto" w:line="240" w:before="240" w:after="0"/>
              <w:ind w:right="57" w:hanging="0"/>
              <w:jc w:val="left"/>
              <w:rPr>
                <w:rFonts w:ascii="Times New Roman" w:hAnsi="Times New Roman" w:eastAsia="Courier New" w:cs="Times New Roman"/>
                <w:b w:val="false"/>
                <w:b w:val="false"/>
                <w:bCs w:val="false"/>
                <w:sz w:val="22"/>
                <w:szCs w:val="22"/>
                <w:lang w:val="en-US" w:eastAsia="ru-RU"/>
              </w:rPr>
            </w:pPr>
            <w:r>
              <w:rPr>
                <w:rFonts w:eastAsia="Courier New" w:cs="Times New Roman" w:ascii="Times New Roman" w:hAnsi="Times New Roman"/>
                <w:b w:val="false"/>
                <w:bCs w:val="false"/>
                <w:sz w:val="22"/>
                <w:szCs w:val="22"/>
                <w:lang w:val="en-US" w:eastAsia="ru-RU"/>
              </w:rPr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spacing w:before="240" w:after="160"/>
        <w:contextualSpacing/>
        <w:jc w:val="right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</w:r>
    </w:p>
    <w:p>
      <w:pPr>
        <w:pStyle w:val="Normal"/>
        <w:spacing w:before="240" w:after="160"/>
        <w:contextualSpacing/>
        <w:jc w:val="right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</w:r>
    </w:p>
    <w:p>
      <w:pPr>
        <w:pStyle w:val="Normal"/>
        <w:spacing w:before="240" w:after="16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Приложение №1 </w:t>
      </w:r>
    </w:p>
    <w:p>
      <w:pPr>
        <w:pStyle w:val="Normal"/>
        <w:spacing w:before="240" w:after="16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к договору №32 </w:t>
      </w:r>
      <w:r>
        <w:rPr/>
        <w:t xml:space="preserve"> </w:t>
      </w:r>
      <w:r>
        <w:rPr>
          <w:rFonts w:cs="Times New Roman" w:ascii="Times New Roman" w:hAnsi="Times New Roman"/>
        </w:rPr>
        <w:t xml:space="preserve">участия в долевом </w:t>
      </w:r>
    </w:p>
    <w:p>
      <w:pPr>
        <w:pStyle w:val="Normal"/>
        <w:spacing w:before="240" w:after="16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строительстве многоквартирного </w:t>
      </w:r>
    </w:p>
    <w:p>
      <w:pPr>
        <w:pStyle w:val="Normal"/>
        <w:spacing w:before="240" w:after="16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жилого дома от 07.11.2023г</w:t>
      </w:r>
    </w:p>
    <w:p>
      <w:pPr>
        <w:pStyle w:val="Normal"/>
        <w:spacing w:before="240" w:after="16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240" w:after="16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240" w:after="160"/>
        <w:contextualSpacing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План квартиры №32 (2 подъезд, 3 этаж)</w:t>
      </w:r>
    </w:p>
    <w:p>
      <w:pPr>
        <w:pStyle w:val="Normal"/>
        <w:spacing w:before="240" w:after="160"/>
        <w:contextualSpacing/>
        <w:jc w:val="center"/>
        <w:rPr>
          <w:rFonts w:ascii="Times New Roman" w:hAnsi="Times New Roman" w:cs="Times New Roman"/>
          <w:b/>
          <w:b/>
        </w:rPr>
      </w:pPr>
      <w:r>
        <w:rPr/>
        <w:object>
          <v:shape id="ole_rId4" style="width:421.5pt;height:596.25pt" o:ole="">
            <v:imagedata r:id="rId5" o:title=""/>
          </v:shape>
          <o:OLEObject Type="Embed" ProgID="AcroExch.Document.DC" ShapeID="ole_rId4" DrawAspect="Content" ObjectID="_66447195" r:id="rId4"/>
        </w:object>
      </w:r>
    </w:p>
    <w:p>
      <w:pPr>
        <w:pStyle w:val="Normal"/>
        <w:spacing w:before="240" w:after="160"/>
        <w:contextualSpacing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tbl>
      <w:tblPr>
        <w:tblStyle w:val="a3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1" w:right="-114" w:hanging="0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51" w:right="-114" w:hanging="0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ООО «СЗ «ПРОМБАЗИС»</w:t>
            </w:r>
          </w:p>
          <w:p>
            <w:pPr>
              <w:pStyle w:val="Normal"/>
              <w:widowControl w:val="false"/>
              <w:spacing w:lineRule="auto" w:line="240" w:before="0" w:after="0"/>
              <w:ind w:left="-51" w:right="-114" w:hanging="0"/>
              <w:rPr>
                <w:rFonts w:ascii="Times New Roman" w:hAnsi="Times New Roman" w:eastAsia="Calibri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Генеральный директор</w:t>
            </w:r>
          </w:p>
          <w:p>
            <w:pPr>
              <w:pStyle w:val="Normal"/>
              <w:widowControl w:val="false"/>
              <w:spacing w:lineRule="auto" w:line="240" w:before="0" w:after="0"/>
              <w:ind w:left="-51" w:right="-114" w:hanging="0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51" w:right="-114" w:hanging="0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___________________/М.А. Павлов/</w:t>
            </w:r>
          </w:p>
          <w:p>
            <w:pPr>
              <w:pStyle w:val="Normal"/>
              <w:widowControl w:val="false"/>
              <w:spacing w:lineRule="auto" w:line="240" w:before="240" w:after="160"/>
              <w:contextualSpacing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2329" w:leader="underscore"/>
              </w:tabs>
              <w:spacing w:lineRule="auto" w:line="240" w:before="240" w:after="160"/>
              <w:ind w:right="57" w:hanging="0"/>
              <w:jc w:val="both"/>
              <w:rPr>
                <w:rFonts w:ascii="Times New Roman" w:hAnsi="Times New Roman" w:eastAsia="Times New Roman" w:cs="Times New Roman"/>
                <w:b/>
                <w:b/>
                <w:iCs/>
                <w:sz w:val="20"/>
                <w:szCs w:val="20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z w:val="20"/>
                <w:szCs w:val="20"/>
                <w:lang w:eastAsia="ru-RU" w:bidi="ru-RU"/>
              </w:rPr>
              <w:t>Участник долевого строительства: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2329" w:leader="underscore"/>
              </w:tabs>
              <w:spacing w:lineRule="auto" w:line="240" w:before="240" w:after="160"/>
              <w:ind w:right="57" w:hanging="0"/>
              <w:contextualSpacing/>
              <w:jc w:val="both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bidi="ru-RU"/>
              </w:rPr>
            </w:pPr>
            <w:r>
              <w:rPr>
                <w:rFonts w:eastAsia="Courier New" w:cs="Times New Roman" w:ascii="Times New Roman" w:hAnsi="Times New Roman"/>
                <w:iCs/>
                <w:sz w:val="20"/>
                <w:szCs w:val="20"/>
                <w:lang w:eastAsia="ru-RU" w:bidi="ru-RU"/>
              </w:rPr>
              <w:t>Селянинова Елена Николаевна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29" w:leader="underscore"/>
              </w:tabs>
              <w:spacing w:lineRule="auto" w:line="240" w:before="240" w:after="160"/>
              <w:ind w:right="57" w:hanging="0"/>
              <w:rPr>
                <w:rFonts w:ascii="Times New Roman" w:hAnsi="Times New Roman" w:eastAsia="Times New Roman" w:cs="Times New Roman"/>
                <w:b/>
                <w:b/>
                <w:iCs/>
                <w:sz w:val="20"/>
                <w:szCs w:val="20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z w:val="20"/>
                <w:szCs w:val="20"/>
                <w:lang w:eastAsia="ru-RU" w:bidi="ru-RU"/>
              </w:rPr>
              <w:t>___________________/Селянинова Е.Н./</w:t>
            </w:r>
          </w:p>
          <w:p>
            <w:pPr>
              <w:pStyle w:val="Normal"/>
              <w:widowControl w:val="false"/>
              <w:spacing w:lineRule="auto" w:line="240" w:before="240" w:after="160"/>
              <w:contextualSpacing/>
              <w:jc w:val="center"/>
              <w:rPr>
                <w:rFonts w:ascii="Times New Roman" w:hAnsi="Times New Roman" w:eastAsia="Courier New" w:cs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Courier New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before="240" w:after="160"/>
        <w:contextualSpacing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240" w:after="160"/>
        <w:contextualSpacing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240" w:after="160"/>
        <w:contextualSpacing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240" w:after="160"/>
        <w:contextualSpacing/>
        <w:jc w:val="both"/>
        <w:rPr/>
      </w:pPr>
      <w:r>
        <w:rPr/>
      </w:r>
    </w:p>
    <w:sectPr>
      <w:footerReference w:type="default" r:id="rId6"/>
      <w:type w:val="nextPage"/>
      <w:pgSz w:w="11906" w:h="16838"/>
      <w:pgMar w:left="1701" w:right="850" w:header="0" w:top="568" w:footer="119" w:bottom="56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  <w:drawing>
        <wp:inline distT="0" distB="0" distL="0" distR="0">
          <wp:extent cx="14605" cy="14605"/>
          <wp:effectExtent l="0" t="0" r="0" b="0"/>
          <wp:docPr id="1" name="Рисунок 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9" descr=""/>
                  <pic:cNvPicPr>
                    <a:picLocks noChangeAspect="1" noChangeArrowheads="1"/>
                  </pic:cNvPicPr>
                </pic:nvPicPr>
                <pic:blipFill>
                  <a:blip r:link="rId7"/>
                  <a:stretch>
                    <a:fillRect/>
                  </a:stretch>
                </pic:blipFill>
                <pic:spPr bwMode="auto">
                  <a:xfrm>
                    <a:off x="0" y="0"/>
                    <a:ext cx="14605" cy="14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/>
        <w:szCs w:val="24"/>
        <w:iCs w:val="false"/>
        <w:bCs/>
        <w:w w:val="100"/>
        <w:rFonts w:ascii="Times New Roman" w:hAnsi="Times New Roman" w:eastAsia="Times New Roman" w:cs="Times New Roman"/>
        <w:color w:val="000000"/>
        <w:lang w:val="ru-RU"/>
      </w:rPr>
    </w:lvl>
    <w:lvl w:ilvl="1">
      <w:start w:val="1"/>
      <w:numFmt w:val="decimal"/>
      <w:lvlText w:val="%1.%2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4.3.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4"/>
      <w:numFmt w:val="decimal"/>
      <w:lvlText w:val="4.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4">
    <w:lvl w:ilvl="0">
      <w:start w:val="1"/>
      <w:numFmt w:val="decimal"/>
      <w:lvlText w:val="4.4.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5">
    <w:lvl w:ilvl="0">
      <w:start w:val="1"/>
      <w:numFmt w:val="decimal"/>
      <w:lvlText w:val="4.5.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6">
    <w:lvl w:ilvl="0">
      <w:start w:val="8"/>
      <w:numFmt w:val="decimal"/>
      <w:lvlText w:val="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/>
        <w:szCs w:val="24"/>
        <w:iCs w:val="false"/>
        <w:bCs/>
        <w:w w:val="100"/>
        <w:rFonts w:ascii="Times New Roman" w:hAnsi="Times New Roman" w:eastAsia="Times New Roman" w:cs="Times New Roman"/>
        <w:color w:val="000000"/>
        <w:lang w:val="ru-RU"/>
      </w:rPr>
    </w:lvl>
    <w:lvl w:ilvl="1">
      <w:start w:val="1"/>
      <w:numFmt w:val="decimal"/>
      <w:lvlText w:val="%1.%2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7"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823" w:hanging="54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8"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false"/>
        <w:bCs/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4"/>
    <w:uiPriority w:val="99"/>
    <w:qFormat/>
    <w:rsid w:val="00cc0a0e"/>
    <w:rPr>
      <w:rFonts w:ascii="Courier New" w:hAnsi="Courier New" w:eastAsia="Courier New" w:cs="Courier New"/>
      <w:color w:val="000000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link w:val="a6"/>
    <w:uiPriority w:val="99"/>
    <w:qFormat/>
    <w:rsid w:val="00cc0a0e"/>
    <w:rPr>
      <w:rFonts w:ascii="Courier New" w:hAnsi="Courier New" w:eastAsia="Courier New" w:cs="Courier New"/>
      <w:color w:val="000000"/>
      <w:sz w:val="24"/>
      <w:szCs w:val="24"/>
      <w:lang w:eastAsia="ru-RU"/>
    </w:rPr>
  </w:style>
  <w:style w:type="character" w:styleId="Style16" w:customStyle="1">
    <w:name w:val="Текст выноски Знак"/>
    <w:basedOn w:val="DefaultParagraphFont"/>
    <w:link w:val="a8"/>
    <w:uiPriority w:val="99"/>
    <w:semiHidden/>
    <w:qFormat/>
    <w:rsid w:val="00d122b5"/>
    <w:rPr>
      <w:rFonts w:ascii="Tahoma" w:hAnsi="Tahoma" w:cs="Tahoma"/>
      <w:sz w:val="16"/>
      <w:szCs w:val="16"/>
    </w:rPr>
  </w:style>
  <w:style w:type="character" w:styleId="Style17">
    <w:name w:val="Интернет-ссылка"/>
    <w:basedOn w:val="DefaultParagraphFont"/>
    <w:uiPriority w:val="99"/>
    <w:unhideWhenUsed/>
    <w:rsid w:val="001b5bf4"/>
    <w:rPr>
      <w:color w:val="0563C1" w:themeColor="hyperlink"/>
      <w:u w:val="single"/>
    </w:rPr>
  </w:style>
  <w:style w:type="character" w:styleId="2" w:customStyle="1">
    <w:name w:val="Основной текст (2)_"/>
    <w:basedOn w:val="DefaultParagraphFont"/>
    <w:link w:val="20"/>
    <w:qFormat/>
    <w:rsid w:val="004b41aa"/>
    <w:rPr>
      <w:rFonts w:eastAsia="Times New Roman"/>
      <w:sz w:val="19"/>
      <w:szCs w:val="19"/>
      <w:shd w:fill="FFFFFF" w:val="clear"/>
    </w:rPr>
  </w:style>
  <w:style w:type="character" w:styleId="1" w:customStyle="1">
    <w:name w:val="Заголовок №1_"/>
    <w:basedOn w:val="DefaultParagraphFont"/>
    <w:link w:val="10"/>
    <w:qFormat/>
    <w:rsid w:val="004b41aa"/>
    <w:rPr>
      <w:rFonts w:eastAsia="Times New Roman"/>
      <w:sz w:val="19"/>
      <w:szCs w:val="19"/>
      <w:shd w:fill="FFFFFF" w:val="clear"/>
    </w:rPr>
  </w:style>
  <w:style w:type="character" w:styleId="ListLabel1">
    <w:name w:val="ListLabel 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/>
    </w:rPr>
  </w:style>
  <w:style w:type="character" w:styleId="ListLabel2">
    <w:name w:val="ListLabel 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/>
    </w:rPr>
  </w:style>
  <w:style w:type="character" w:styleId="ListLabel3">
    <w:name w:val="ListLabel 3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/>
    </w:rPr>
  </w:style>
  <w:style w:type="character" w:styleId="ListLabel4">
    <w:name w:val="ListLabel 4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/>
    </w:rPr>
  </w:style>
  <w:style w:type="character" w:styleId="ListLabel5">
    <w:name w:val="ListLabel 5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/>
    </w:rPr>
  </w:style>
  <w:style w:type="character" w:styleId="ListLabel6">
    <w:name w:val="ListLabel 6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/>
    </w:rPr>
  </w:style>
  <w:style w:type="character" w:styleId="ListLabel7">
    <w:name w:val="ListLabel 7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/>
    </w:rPr>
  </w:style>
  <w:style w:type="character" w:styleId="ListLabel8">
    <w:name w:val="ListLabel 8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/>
    </w:rPr>
  </w:style>
  <w:style w:type="character" w:styleId="ListLabel9">
    <w:name w:val="ListLabel 9"/>
    <w:qFormat/>
    <w:rPr>
      <w:rFonts w:ascii="Times New Roman" w:hAnsi="Times New Roman"/>
      <w:b w:val="false"/>
      <w:bCs/>
    </w:rPr>
  </w:style>
  <w:style w:type="character" w:styleId="ListLabel10">
    <w:name w:val="ListLabel 10"/>
    <w:qFormat/>
    <w:rPr>
      <w:b w:val="false"/>
      <w:bCs/>
    </w:rPr>
  </w:style>
  <w:style w:type="character" w:styleId="ListLabel11">
    <w:name w:val="ListLabel 11"/>
    <w:qFormat/>
    <w:rPr>
      <w:rFonts w:ascii="Times New Roman" w:hAnsi="Times New Roman" w:eastAsia="Times New Roman" w:cs="Times New Roman"/>
      <w:color w:val="0000FF"/>
      <w:u w:val="single" w:color="0000FF"/>
      <w:lang w:eastAsia="ru-RU"/>
    </w:rPr>
  </w:style>
  <w:style w:type="character" w:styleId="ListLabel12">
    <w:name w:val="ListLabel 12"/>
    <w:qFormat/>
    <w:rPr>
      <w:rFonts w:ascii="Times New Roman" w:hAnsi="Times New Roman" w:eastAsia="Times New Roman" w:cs="Times New Roman"/>
      <w:lang w:eastAsia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 Unicode M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 Unicode MS"/>
    </w:rPr>
  </w:style>
  <w:style w:type="paragraph" w:styleId="Style23">
    <w:name w:val="Header"/>
    <w:basedOn w:val="Normal"/>
    <w:link w:val="a5"/>
    <w:uiPriority w:val="99"/>
    <w:unhideWhenUsed/>
    <w:rsid w:val="00cc0a0e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ourier New" w:hAnsi="Courier New" w:eastAsia="Courier New" w:cs="Courier New"/>
      <w:color w:val="000000"/>
      <w:sz w:val="24"/>
      <w:szCs w:val="24"/>
      <w:lang w:eastAsia="ru-RU"/>
    </w:rPr>
  </w:style>
  <w:style w:type="paragraph" w:styleId="Style24">
    <w:name w:val="Footer"/>
    <w:basedOn w:val="Normal"/>
    <w:link w:val="a7"/>
    <w:uiPriority w:val="99"/>
    <w:unhideWhenUsed/>
    <w:rsid w:val="00cc0a0e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ourier New" w:hAnsi="Courier New" w:eastAsia="Courier New" w:cs="Courier New"/>
      <w:color w:val="000000"/>
      <w:sz w:val="24"/>
      <w:szCs w:val="24"/>
      <w:lang w:eastAsia="ru-RU"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d122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22b5"/>
    <w:pPr>
      <w:spacing w:before="0" w:after="160"/>
      <w:ind w:left="720" w:hanging="0"/>
      <w:contextualSpacing/>
    </w:pPr>
    <w:rPr/>
  </w:style>
  <w:style w:type="paragraph" w:styleId="21" w:customStyle="1">
    <w:name w:val="Основной текст (2)"/>
    <w:basedOn w:val="Normal"/>
    <w:link w:val="2"/>
    <w:qFormat/>
    <w:rsid w:val="004b41aa"/>
    <w:pPr>
      <w:widowControl w:val="false"/>
      <w:shd w:val="clear" w:color="auto" w:fill="FFFFFF"/>
      <w:spacing w:lineRule="exact" w:line="238" w:before="240" w:after="0"/>
      <w:jc w:val="both"/>
    </w:pPr>
    <w:rPr>
      <w:rFonts w:eastAsia="Times New Roman"/>
      <w:b/>
      <w:bCs/>
      <w:sz w:val="19"/>
      <w:szCs w:val="19"/>
    </w:rPr>
  </w:style>
  <w:style w:type="paragraph" w:styleId="11" w:customStyle="1">
    <w:name w:val="Заголовок №1"/>
    <w:basedOn w:val="Normal"/>
    <w:link w:val="1"/>
    <w:qFormat/>
    <w:rsid w:val="004b41aa"/>
    <w:pPr>
      <w:widowControl w:val="false"/>
      <w:shd w:val="clear" w:color="auto" w:fill="FFFFFF"/>
      <w:spacing w:lineRule="auto" w:before="180" w:after="420"/>
      <w:jc w:val="both"/>
      <w:outlineLvl w:val="0"/>
    </w:pPr>
    <w:rPr>
      <w:rFonts w:eastAsia="Times New Roman"/>
      <w:b/>
      <w:bCs/>
      <w:sz w:val="19"/>
      <w:szCs w:val="19"/>
    </w:rPr>
  </w:style>
  <w:style w:type="paragraph" w:styleId="3" w:customStyle="1">
    <w:name w:val="Основной текст3"/>
    <w:basedOn w:val="Normal"/>
    <w:qFormat/>
    <w:rsid w:val="004b41aa"/>
    <w:pPr>
      <w:widowControl w:val="false"/>
      <w:shd w:val="clear" w:color="auto" w:fill="FFFFFF"/>
      <w:spacing w:lineRule="exact" w:line="230" w:before="0" w:after="0"/>
      <w:ind w:hanging="560"/>
      <w:jc w:val="both"/>
    </w:pPr>
    <w:rPr>
      <w:rFonts w:ascii="Times New Roman" w:hAnsi="Times New Roman" w:eastAsia="Times New Roman" w:cs="Times New Roman"/>
      <w:sz w:val="19"/>
      <w:szCs w:val="19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c0a0e"/>
    <w:pPr>
      <w:spacing w:after="0" w:line="240" w:lineRule="auto"/>
    </w:pPr>
    <w:rPr>
      <w:lang w:eastAsia="ru-RU"/>
      <w:sz w:val="24"/>
      <w:szCs w:val="24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%3DD791C5EB84C74A088BA8A9F3010975E7E382E6947C83847FB8271842212ED40839AAE15BC06ADED0EFA88FF16B089401221CB19F7F13C56CiER9I" TargetMode="External"/><Relationship Id="rId3" Type="http://schemas.openxmlformats.org/officeDocument/2006/relationships/hyperlink" Target="consultantplus://offline/ref%3DD791C5EB84C74A088BA8A9F3010975E7E382E6947C83847FB8271842212ED40839AAE15BC06ADED0EFA88FF16B089401221CB19F7F13C56CiER9I" TargetMode="External"/><Relationship Id="rId4" Type="http://schemas.openxmlformats.org/officeDocument/2006/relationships/oleObject" Target="embeddings/oleObject1.bin"/><Relationship Id="rId5" Type="http://schemas.openxmlformats.org/officeDocument/2006/relationships/image" Target="media/image1.wmf"/><Relationship Id="rId6" Type="http://schemas.openxmlformats.org/officeDocument/2006/relationships/footer" Target="footer1.xml"/><Relationship Id="rId7" Type="http://schemas.openxmlformats.org/officeDocument/2006/relationships/image" Target="http://240790A24FD97889D442B336B59B7E8F.dms.sberbank.ru/240790A24FD97889D442B336B59B7E8F-CB71B2E2E8AC41B5A6F155686FC3062B-C929A2EFD5E5078032BDA6FF710C53B1/1.png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6F597-10C2-4C10-9007-6A8FEC758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Application>LibreOffice/6.2.3.2$MacOSX_X86_64 LibreOffice_project/aecc05fe267cc68dde00352a451aa867b3b546ac</Application>
  <Pages>9</Pages>
  <Words>3054</Words>
  <Characters>21049</Characters>
  <CharactersWithSpaces>24091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2023-06-07T11:57:00Z</dcterms:created>
  <dc:creator>LEV</dc:creator>
  <dc:description/>
  <dc:language>ru-RU</dc:language>
  <cp:lastModifiedBy/>
  <cp:lastPrinted>2023-10-25T09:56:00Z</cp:lastPrinted>
  <dcterms:modified xsi:type="dcterms:W3CDTF">2024-11-28T00:18:53Z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