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36" w:rsidRPr="00751536" w:rsidRDefault="00751536" w:rsidP="00751536">
      <w:pPr>
        <w:pStyle w:val="indent1"/>
        <w:shd w:val="clear" w:color="auto" w:fill="FFFFFF"/>
        <w:jc w:val="right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В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наименование суда,</w:t>
      </w:r>
      <w:r w:rsidRPr="00751536">
        <w:rPr>
          <w:rFonts w:ascii="PT Serif" w:hAnsi="PT Serif"/>
          <w:b/>
          <w:bCs/>
          <w:color w:val="000000" w:themeColor="text1"/>
          <w:sz w:val="22"/>
          <w:szCs w:val="22"/>
        </w:rPr>
        <w:br/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 который подается заявление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indent1"/>
        <w:shd w:val="clear" w:color="auto" w:fill="FFFFFF"/>
        <w:jc w:val="right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От должника/взыскателя: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Ф. И. О./наименование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место жительства/адрес: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телефон/факс: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номер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адрес электронной почты: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indent1"/>
        <w:shd w:val="clear" w:color="auto" w:fill="FFFFFF"/>
        <w:jc w:val="right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Взыскатель/должник: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Ф. И. О./наименование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место жительства/адрес: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телефон/факс: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номер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адрес электронной почты: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indent1"/>
        <w:shd w:val="clear" w:color="auto" w:fill="FFFFFF"/>
        <w:jc w:val="right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Наименование территориального отдела службы судебных</w:t>
      </w:r>
      <w:r w:rsidRPr="00751536">
        <w:rPr>
          <w:rFonts w:ascii="PT Serif" w:hAnsi="PT Serif"/>
          <w:b/>
          <w:bCs/>
          <w:color w:val="000000" w:themeColor="text1"/>
          <w:sz w:val="22"/>
          <w:szCs w:val="22"/>
        </w:rPr>
        <w:br/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приставов, должность, Ф. И. О. судебного пристава-исполнителя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адрес: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телефон/факс: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номер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адрес электронной почты: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indent1"/>
        <w:shd w:val="clear" w:color="auto" w:fill="FFFFFF"/>
        <w:jc w:val="right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Дело N 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значение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Судья: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Ф. И. О.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s3"/>
        <w:shd w:val="clear" w:color="auto" w:fill="FFFFFF"/>
        <w:jc w:val="center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Заявление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  <w:t>об изменении порядка и способа исполнения судебного решения</w:t>
      </w:r>
      <w:r w:rsidRPr="00751536">
        <w:rPr>
          <w:rFonts w:ascii="PT Serif" w:hAnsi="PT Serif"/>
          <w:color w:val="000000" w:themeColor="text1"/>
          <w:sz w:val="22"/>
          <w:szCs w:val="22"/>
        </w:rPr>
        <w:br/>
      </w:r>
      <w:r>
        <w:rPr>
          <w:rFonts w:ascii="PT Serif" w:hAnsi="PT Serif"/>
          <w:color w:val="000000" w:themeColor="text1"/>
          <w:sz w:val="22"/>
          <w:szCs w:val="22"/>
        </w:rPr>
        <w:t xml:space="preserve"> 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Решением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наименование суда</w:t>
      </w:r>
      <w:r w:rsidRPr="00751536">
        <w:rPr>
          <w:rFonts w:ascii="PT Serif" w:hAnsi="PT Serif"/>
          <w:color w:val="000000" w:themeColor="text1"/>
          <w:sz w:val="22"/>
          <w:szCs w:val="22"/>
        </w:rPr>
        <w:t>] от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>] по делу N 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значение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 было постановлено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указать резолютивную часть судебного акта</w:t>
      </w:r>
      <w:r w:rsidRPr="00751536">
        <w:rPr>
          <w:rFonts w:ascii="PT Serif" w:hAnsi="PT Serif"/>
          <w:color w:val="000000" w:themeColor="text1"/>
          <w:sz w:val="22"/>
          <w:szCs w:val="22"/>
        </w:rPr>
        <w:t>].</w:t>
      </w:r>
      <w:proofErr w:type="gramEnd"/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 xml:space="preserve">] для принудительного </w:t>
      </w: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исполнения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 xml:space="preserve"> вступившего в законную силу решения суда от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>]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Ф. И. О./наименование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 выдан исполнительный лист.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В отношении должника возбуждено исполнительное производство N 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значение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 на основании постановления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наименование структурного подразделения ФССП</w:t>
      </w:r>
      <w:r w:rsidRPr="00751536">
        <w:rPr>
          <w:rFonts w:ascii="PT Serif" w:hAnsi="PT Serif"/>
          <w:color w:val="000000" w:themeColor="text1"/>
          <w:sz w:val="22"/>
          <w:szCs w:val="22"/>
        </w:rPr>
        <w:t xml:space="preserve">] </w:t>
      </w: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от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 xml:space="preserve">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>].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Согласно </w:t>
      </w:r>
      <w:hyperlink r:id="rId4" w:anchor="/document/12128809/entry/203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203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ГПК РФ суд, рассмотревший дело, по заявлениям лиц, участвующих в деле, судебного пристава-исполнителя исходя из имущественного положения сторон или других обстоятель</w:t>
      </w: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ств впр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>аве отсрочить или рассрочить исполнение решения суда, изменить способ и порядок его исполнения.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Согласно </w:t>
      </w:r>
      <w:hyperlink r:id="rId5" w:anchor="/document/12128809/entry/434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434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ГПК РФ при наличии обстоятельств, затрудняющих исполнение судебного постановления или постановлений иных органов, взыскатель, должник, судебный пристав-исполнитель вправе поставить перед судом, рассмотревшим дело, или перед судом по месту исполнения судебного постановления вопрос об отсрочке или о рассрочке исполнения, об изменении способа и порядка исполнения, а также об индексации присужденных денежных сумм.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 xml:space="preserve"> </w:t>
      </w: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Такие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 xml:space="preserve"> заявление сторон и представление судебного пристава-исполнителя рассматриваются в порядке, предусмотренном </w:t>
      </w:r>
      <w:hyperlink r:id="rId6" w:anchor="/document/12128809/entry/203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203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и </w:t>
      </w:r>
      <w:hyperlink r:id="rId7" w:anchor="/document/12128809/entry/208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208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данного Кодекса.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hyperlink r:id="rId8" w:anchor="/document/12156199/entry/3701" w:history="1">
        <w:proofErr w:type="gramStart"/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Ч. 1 ст. 37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Федерального закона от 2 октября 2007 г. N 229-ФЗ "Об исполнительном производстве" установлено, что взыскатель, должник, судебный пристав-исполнитель вправе обратиться с заявлением о предоставлении отсрочки или рассрочки исполнения судебного акта, акта другого органа или должностного лица, а также об изменении способа и порядка его исполнения в суд, другой орган или к должностному лицу, выдавшим исполнительный документ.</w:t>
      </w:r>
      <w:proofErr w:type="gramEnd"/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Положения указанной нормы устанавливают гарантии реализации права граждан и организаций на надлежащее и своевременное исполнение вступивших в законную силу судебных актов в тех случаях, когда такое исполнение первоначальным способом невозможно или затруднено.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Из анализа положений названных статей следует, что предоставленное взыскателю, должнику, судебному приставу-исполнителю право на обращение с заявлением об изменении порядка исполнения решения призвано обеспечить реальное исполнение судебного акта, поэтому такое заявление подлежит удовлетворению в случае, когда будет установлено, что исполнение судебного акта и восстановление признанных судебным решением прав не будет достигнуто либо такое исполнение будет затруднено.</w:t>
      </w:r>
      <w:proofErr w:type="gramEnd"/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При этом под изменением способа и порядка исполнения судебного акта понимается замена одного способа и порядка исполнения другим.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Изменение способа исполнения возможно при условии, когда судебный акт способом, указанным в нем, исполнен быть не может, но возможность его исполнения сохраняется посредством замены одного обязательства другим. Изменение способа исполнения судебного акта возможно только в пределах заявленных требований и в соответствии с фактами, установленными судебным актом.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Изменение способа и порядка исполнения судебного акта является исключительной мерой, которая должна применяться лишь при наличии уважительных причин либо неблагоприятных обстоятельств, затрудняющих исполнение судебного акта. При оценке таких причин и обстоятельств суд должен исходить из необходимости соблюдения баланса интересов взыскателя и должника.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Поскольку в законе объективно невозможно предусмотреть все юридические факты, которые могут служить основаниями для изменения способа и порядка исполнения судебного акта, в </w:t>
      </w:r>
      <w:hyperlink r:id="rId9" w:anchor="/document/12128809/entry/203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203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, </w:t>
      </w:r>
      <w:hyperlink r:id="rId10" w:anchor="/document/12128809/entry/434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434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ГПК РФ установлен лишь критерий определения таких оснований - обстоятельства, затрудняющие исполнение судебного акта, предоставляя суду возможность в каждом конкретном случае решать вопрос об их наличии с учетом всех фактических обстоятельств конкретного дела (</w:t>
      </w:r>
      <w:hyperlink r:id="rId11" w:anchor="/document/1794554/entry/0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определение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Конституционного суда</w:t>
      </w:r>
      <w:proofErr w:type="gramEnd"/>
      <w:r w:rsidRPr="00751536">
        <w:rPr>
          <w:rFonts w:ascii="PT Serif" w:hAnsi="PT Serif"/>
          <w:color w:val="000000" w:themeColor="text1"/>
          <w:sz w:val="22"/>
          <w:szCs w:val="22"/>
        </w:rPr>
        <w:t xml:space="preserve"> </w:t>
      </w: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Российской Федерации от 25.02.2010 N 226-О-О).</w:t>
      </w:r>
      <w:proofErr w:type="gramEnd"/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обосновать невозможность исполнения судебного акта и необходимость изменения порядка и способа его исполнения со ссылкой на имеющиеся доказательства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Таким образом, единственно возможным способом исполнения судебного акта в настоящее время является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В связи с изложенным и руководствуясь </w:t>
      </w:r>
      <w:hyperlink r:id="rId12" w:anchor="/document/12128809/entry/203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203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, </w:t>
      </w:r>
      <w:hyperlink r:id="rId13" w:anchor="/document/12128809/entry/434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434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ГПК РФ, </w:t>
      </w:r>
      <w:hyperlink r:id="rId14" w:anchor="/document/12156199/entry/37" w:history="1">
        <w:r w:rsidRPr="00751536">
          <w:rPr>
            <w:rStyle w:val="a3"/>
            <w:rFonts w:ascii="PT Serif" w:hAnsi="PT Serif"/>
            <w:color w:val="000000" w:themeColor="text1"/>
            <w:sz w:val="22"/>
            <w:szCs w:val="22"/>
            <w:u w:val="none"/>
          </w:rPr>
          <w:t>ст. 37</w:t>
        </w:r>
      </w:hyperlink>
      <w:r w:rsidRPr="00751536">
        <w:rPr>
          <w:rFonts w:ascii="PT Serif" w:hAnsi="PT Serif"/>
          <w:color w:val="000000" w:themeColor="text1"/>
          <w:sz w:val="22"/>
          <w:szCs w:val="22"/>
        </w:rPr>
        <w:t> Федерального закона от 2 октября 2007 г. N 229-ФЗ "Об исполнительном производстве",</w:t>
      </w:r>
    </w:p>
    <w:p w:rsidR="00751536" w:rsidRPr="00751536" w:rsidRDefault="00751536" w:rsidP="00751536">
      <w:pPr>
        <w:pStyle w:val="indent1"/>
        <w:shd w:val="clear" w:color="auto" w:fill="FFFFFF"/>
        <w:jc w:val="center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lastRenderedPageBreak/>
        <w:t>прошу суд: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proofErr w:type="gramStart"/>
      <w:r w:rsidRPr="00751536">
        <w:rPr>
          <w:rFonts w:ascii="PT Serif" w:hAnsi="PT Serif"/>
          <w:color w:val="000000" w:themeColor="text1"/>
          <w:sz w:val="22"/>
          <w:szCs w:val="22"/>
        </w:rPr>
        <w:t>Изменить порядок и способ исполнения решения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наименование суда</w:t>
      </w:r>
      <w:r w:rsidRPr="00751536">
        <w:rPr>
          <w:rFonts w:ascii="PT Serif" w:hAnsi="PT Serif"/>
          <w:color w:val="000000" w:themeColor="text1"/>
          <w:sz w:val="22"/>
          <w:szCs w:val="22"/>
        </w:rPr>
        <w:t>] от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>] по делу N 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значение</w:t>
      </w:r>
      <w:r w:rsidRPr="00751536">
        <w:rPr>
          <w:rFonts w:ascii="PT Serif" w:hAnsi="PT Serif"/>
          <w:color w:val="000000" w:themeColor="text1"/>
          <w:sz w:val="22"/>
          <w:szCs w:val="22"/>
        </w:rPr>
        <w:t>] на 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вписать нужное</w:t>
      </w:r>
      <w:r w:rsidRPr="00751536">
        <w:rPr>
          <w:rFonts w:ascii="PT Serif" w:hAnsi="PT Serif"/>
          <w:color w:val="000000" w:themeColor="text1"/>
          <w:sz w:val="22"/>
          <w:szCs w:val="22"/>
        </w:rPr>
        <w:t>].</w:t>
      </w:r>
      <w:proofErr w:type="gramEnd"/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Приложение: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1) подтверждение направления настоящего заявления взыскателю/должнику и в службу судебных приставов;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2) документ, подтверждающий уплату государственной пошлины;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3) документы, обосновывающие доводы заявителя;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4) подтверждение полномочий лица на подписание настоящего заявления.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подпись, инициалы, фамилия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751536" w:rsidRPr="00751536" w:rsidRDefault="00751536" w:rsidP="00751536">
      <w:pPr>
        <w:pStyle w:val="s1"/>
        <w:shd w:val="clear" w:color="auto" w:fill="FFFFFF"/>
        <w:jc w:val="both"/>
        <w:rPr>
          <w:rFonts w:ascii="PT Serif" w:hAnsi="PT Serif"/>
          <w:color w:val="000000" w:themeColor="text1"/>
          <w:sz w:val="22"/>
          <w:szCs w:val="22"/>
        </w:rPr>
      </w:pPr>
      <w:r w:rsidRPr="00751536">
        <w:rPr>
          <w:rFonts w:ascii="PT Serif" w:hAnsi="PT Serif"/>
          <w:color w:val="000000" w:themeColor="text1"/>
          <w:sz w:val="22"/>
          <w:szCs w:val="22"/>
        </w:rPr>
        <w:t>[</w:t>
      </w:r>
      <w:r w:rsidRPr="00751536">
        <w:rPr>
          <w:rStyle w:val="s10"/>
          <w:rFonts w:ascii="PT Serif" w:hAnsi="PT Serif"/>
          <w:b/>
          <w:bCs/>
          <w:color w:val="000000" w:themeColor="text1"/>
          <w:sz w:val="22"/>
          <w:szCs w:val="22"/>
        </w:rPr>
        <w:t>число, месяц, год</w:t>
      </w:r>
      <w:r w:rsidRPr="00751536">
        <w:rPr>
          <w:rFonts w:ascii="PT Serif" w:hAnsi="PT Serif"/>
          <w:color w:val="000000" w:themeColor="text1"/>
          <w:sz w:val="22"/>
          <w:szCs w:val="22"/>
        </w:rPr>
        <w:t>]</w:t>
      </w:r>
    </w:p>
    <w:p w:rsidR="00E12EB4" w:rsidRDefault="00E12EB4"/>
    <w:sectPr w:rsidR="00E12EB4" w:rsidSect="00E1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36"/>
    <w:rsid w:val="00751536"/>
    <w:rsid w:val="00E1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51536"/>
  </w:style>
  <w:style w:type="paragraph" w:customStyle="1" w:styleId="s3">
    <w:name w:val="s_3"/>
    <w:basedOn w:val="a"/>
    <w:rsid w:val="007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15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Бируля</cp:lastModifiedBy>
  <cp:revision>1</cp:revision>
  <dcterms:created xsi:type="dcterms:W3CDTF">2025-04-24T08:32:00Z</dcterms:created>
  <dcterms:modified xsi:type="dcterms:W3CDTF">2025-04-24T08:33:00Z</dcterms:modified>
</cp:coreProperties>
</file>